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C2C4" w14:textId="77777777" w:rsidR="00CE06E5" w:rsidRDefault="00D61D5C">
      <w:pPr>
        <w:spacing w:after="160"/>
        <w:jc w:val="left"/>
        <w:rPr>
          <w:lang w:val="en-US"/>
        </w:rPr>
      </w:pPr>
      <w:r>
        <w:rPr>
          <w:lang w:val="en-US"/>
        </w:rPr>
        <w:t>META INFORMATION – TO BE DELETED</w:t>
      </w:r>
    </w:p>
    <w:tbl>
      <w:tblPr>
        <w:tblStyle w:val="ab"/>
        <w:tblW w:w="0" w:type="auto"/>
        <w:tblLook w:val="04A0" w:firstRow="1" w:lastRow="0" w:firstColumn="1" w:lastColumn="0" w:noHBand="0" w:noVBand="1"/>
      </w:tblPr>
      <w:tblGrid>
        <w:gridCol w:w="1696"/>
        <w:gridCol w:w="7649"/>
      </w:tblGrid>
      <w:tr w:rsidR="00CE06E5" w:rsidRPr="00823A43" w14:paraId="647ECBA8" w14:textId="77777777" w:rsidTr="00CE06E5">
        <w:tc>
          <w:tcPr>
            <w:tcW w:w="1696" w:type="dxa"/>
          </w:tcPr>
          <w:p w14:paraId="6F1A33DB" w14:textId="3C1C174B" w:rsidR="00CE06E5" w:rsidRPr="006D6F79" w:rsidRDefault="00CE06E5" w:rsidP="00CE06E5">
            <w:pPr>
              <w:spacing w:before="120"/>
              <w:jc w:val="left"/>
              <w:rPr>
                <w:b/>
                <w:bCs/>
                <w:lang w:val="en-US"/>
              </w:rPr>
            </w:pPr>
            <w:r w:rsidRPr="006D6F79">
              <w:rPr>
                <w:b/>
                <w:bCs/>
                <w:lang w:val="en-US"/>
              </w:rPr>
              <w:t>Name</w:t>
            </w:r>
          </w:p>
        </w:tc>
        <w:tc>
          <w:tcPr>
            <w:tcW w:w="7649" w:type="dxa"/>
          </w:tcPr>
          <w:p w14:paraId="5B444102" w14:textId="3BEBF968" w:rsidR="00CE06E5" w:rsidRDefault="006D6F79" w:rsidP="00CE06E5">
            <w:pPr>
              <w:spacing w:before="120"/>
              <w:jc w:val="left"/>
              <w:rPr>
                <w:lang w:val="en-US"/>
              </w:rPr>
            </w:pPr>
            <w:r>
              <w:rPr>
                <w:lang w:val="en-US"/>
              </w:rPr>
              <w:t>EU-US Privacy Shield to SCC Amendment for Controller to Processor Transfer</w:t>
            </w:r>
          </w:p>
        </w:tc>
      </w:tr>
      <w:tr w:rsidR="00CE06E5" w14:paraId="36252B68" w14:textId="77777777" w:rsidTr="00CE06E5">
        <w:tc>
          <w:tcPr>
            <w:tcW w:w="1696" w:type="dxa"/>
          </w:tcPr>
          <w:p w14:paraId="6F57D561" w14:textId="3A5BEC85" w:rsidR="00CE06E5" w:rsidRPr="006D6F79" w:rsidRDefault="00CE06E5" w:rsidP="00CE06E5">
            <w:pPr>
              <w:spacing w:before="120"/>
              <w:jc w:val="left"/>
              <w:rPr>
                <w:b/>
                <w:bCs/>
                <w:lang w:val="en-US"/>
              </w:rPr>
            </w:pPr>
            <w:r w:rsidRPr="006D6F79">
              <w:rPr>
                <w:b/>
                <w:bCs/>
                <w:lang w:val="en-US"/>
              </w:rPr>
              <w:t>Version</w:t>
            </w:r>
          </w:p>
        </w:tc>
        <w:tc>
          <w:tcPr>
            <w:tcW w:w="7649" w:type="dxa"/>
          </w:tcPr>
          <w:p w14:paraId="17A1D2EA" w14:textId="0C05C127" w:rsidR="00CE06E5" w:rsidRDefault="006D6F79" w:rsidP="00CE06E5">
            <w:pPr>
              <w:spacing w:before="120"/>
              <w:jc w:val="left"/>
              <w:rPr>
                <w:lang w:val="en-US"/>
              </w:rPr>
            </w:pPr>
            <w:r>
              <w:rPr>
                <w:lang w:val="en-US"/>
              </w:rPr>
              <w:t>0.</w:t>
            </w:r>
            <w:r w:rsidR="008576A9">
              <w:rPr>
                <w:lang w:val="en-US"/>
              </w:rPr>
              <w:t>6</w:t>
            </w:r>
          </w:p>
        </w:tc>
      </w:tr>
      <w:tr w:rsidR="00CE06E5" w14:paraId="117C524B" w14:textId="77777777" w:rsidTr="00CE06E5">
        <w:tc>
          <w:tcPr>
            <w:tcW w:w="1696" w:type="dxa"/>
          </w:tcPr>
          <w:p w14:paraId="4AFF0ACC" w14:textId="7E6CCD7C" w:rsidR="00CE06E5" w:rsidRPr="006D6F79" w:rsidRDefault="00CE06E5" w:rsidP="00CE06E5">
            <w:pPr>
              <w:spacing w:before="120"/>
              <w:jc w:val="left"/>
              <w:rPr>
                <w:b/>
                <w:bCs/>
                <w:lang w:val="en-US"/>
              </w:rPr>
            </w:pPr>
            <w:r w:rsidRPr="006D6F79">
              <w:rPr>
                <w:b/>
                <w:bCs/>
                <w:lang w:val="en-US"/>
              </w:rPr>
              <w:t>Status</w:t>
            </w:r>
          </w:p>
        </w:tc>
        <w:tc>
          <w:tcPr>
            <w:tcW w:w="7649" w:type="dxa"/>
          </w:tcPr>
          <w:p w14:paraId="354E2208" w14:textId="2EA4284E" w:rsidR="00CE06E5" w:rsidRDefault="006D6F79" w:rsidP="00CE06E5">
            <w:pPr>
              <w:spacing w:before="120"/>
              <w:jc w:val="left"/>
              <w:rPr>
                <w:lang w:val="en-US"/>
              </w:rPr>
            </w:pPr>
            <w:r>
              <w:rPr>
                <w:lang w:val="en-US"/>
              </w:rPr>
              <w:t>Public Discussion</w:t>
            </w:r>
          </w:p>
        </w:tc>
      </w:tr>
      <w:tr w:rsidR="00CE06E5" w:rsidRPr="00823A43" w14:paraId="7CEBEDF9" w14:textId="77777777" w:rsidTr="00CE06E5">
        <w:tc>
          <w:tcPr>
            <w:tcW w:w="1696" w:type="dxa"/>
          </w:tcPr>
          <w:p w14:paraId="696DC25D" w14:textId="055F77B3" w:rsidR="00CE06E5" w:rsidRPr="006D6F79" w:rsidRDefault="00483646" w:rsidP="00CE06E5">
            <w:pPr>
              <w:spacing w:before="120"/>
              <w:jc w:val="left"/>
              <w:rPr>
                <w:b/>
                <w:bCs/>
                <w:lang w:val="en-US"/>
              </w:rPr>
            </w:pPr>
            <w:r>
              <w:rPr>
                <w:b/>
                <w:bCs/>
                <w:lang w:val="en-US"/>
              </w:rPr>
              <w:t>Maintainer</w:t>
            </w:r>
          </w:p>
        </w:tc>
        <w:tc>
          <w:tcPr>
            <w:tcW w:w="7649" w:type="dxa"/>
          </w:tcPr>
          <w:p w14:paraId="32C64FB0" w14:textId="5951D2A8" w:rsidR="00CE06E5" w:rsidRPr="00E54F35" w:rsidRDefault="006D6F79" w:rsidP="00CE06E5">
            <w:pPr>
              <w:spacing w:before="120"/>
              <w:jc w:val="left"/>
              <w:rPr>
                <w:lang w:val="it-IT"/>
              </w:rPr>
            </w:pPr>
            <w:r w:rsidRPr="00E54F35">
              <w:rPr>
                <w:lang w:val="it-IT"/>
              </w:rPr>
              <w:t>Oleg Blinov</w:t>
            </w:r>
            <w:r w:rsidR="00E54F35" w:rsidRPr="00E54F35">
              <w:rPr>
                <w:lang w:val="it-IT"/>
              </w:rPr>
              <w:t xml:space="preserve"> (</w:t>
            </w:r>
            <w:r w:rsidRPr="00E54F35">
              <w:rPr>
                <w:lang w:val="it-IT"/>
              </w:rPr>
              <w:t>telegram: @Oleg_Blinov</w:t>
            </w:r>
            <w:r w:rsidR="00E54F35" w:rsidRPr="00E54F35">
              <w:rPr>
                <w:lang w:val="it-IT"/>
              </w:rPr>
              <w:t>)</w:t>
            </w:r>
          </w:p>
        </w:tc>
      </w:tr>
      <w:tr w:rsidR="00483646" w:rsidRPr="00483646" w14:paraId="16578489" w14:textId="77777777" w:rsidTr="00CE06E5">
        <w:tc>
          <w:tcPr>
            <w:tcW w:w="1696" w:type="dxa"/>
          </w:tcPr>
          <w:p w14:paraId="4F8CB05E" w14:textId="00357A56" w:rsidR="00483646" w:rsidRPr="00483646" w:rsidRDefault="00483646" w:rsidP="00CE06E5">
            <w:pPr>
              <w:spacing w:before="120"/>
              <w:jc w:val="left"/>
              <w:rPr>
                <w:b/>
                <w:bCs/>
                <w:lang w:val="it-IT"/>
              </w:rPr>
            </w:pPr>
            <w:r>
              <w:rPr>
                <w:b/>
                <w:bCs/>
                <w:lang w:val="it-IT"/>
              </w:rPr>
              <w:t>Contributors</w:t>
            </w:r>
          </w:p>
        </w:tc>
        <w:tc>
          <w:tcPr>
            <w:tcW w:w="7649" w:type="dxa"/>
          </w:tcPr>
          <w:p w14:paraId="6356DC8A" w14:textId="27E2676D" w:rsidR="00483646" w:rsidRPr="002662E7" w:rsidRDefault="00483646" w:rsidP="00CE06E5">
            <w:pPr>
              <w:spacing w:before="120"/>
              <w:jc w:val="left"/>
            </w:pPr>
            <w:r>
              <w:rPr>
                <w:lang w:val="it-IT"/>
              </w:rPr>
              <w:t>Elena Sebyakina</w:t>
            </w:r>
            <w:r w:rsidR="002662E7">
              <w:rPr>
                <w:lang w:val="it-IT"/>
              </w:rPr>
              <w:t>, Alexey Muntyan</w:t>
            </w:r>
          </w:p>
        </w:tc>
      </w:tr>
      <w:tr w:rsidR="00CE06E5" w:rsidRPr="00823A43" w14:paraId="4894167A" w14:textId="77777777" w:rsidTr="00CE06E5">
        <w:tc>
          <w:tcPr>
            <w:tcW w:w="1696" w:type="dxa"/>
          </w:tcPr>
          <w:p w14:paraId="02155DE6" w14:textId="01747345" w:rsidR="00CE06E5" w:rsidRPr="006D6F79" w:rsidRDefault="00CE06E5" w:rsidP="00CE06E5">
            <w:pPr>
              <w:spacing w:before="120"/>
              <w:jc w:val="left"/>
              <w:rPr>
                <w:b/>
                <w:bCs/>
                <w:lang w:val="en-US"/>
              </w:rPr>
            </w:pPr>
            <w:r w:rsidRPr="006D6F79">
              <w:rPr>
                <w:b/>
                <w:bCs/>
                <w:lang w:val="en-US"/>
              </w:rPr>
              <w:t>Description</w:t>
            </w:r>
          </w:p>
        </w:tc>
        <w:tc>
          <w:tcPr>
            <w:tcW w:w="7649" w:type="dxa"/>
          </w:tcPr>
          <w:p w14:paraId="15F523CE" w14:textId="77777777" w:rsidR="00CE06E5" w:rsidRDefault="006D6F79" w:rsidP="00CE06E5">
            <w:pPr>
              <w:spacing w:before="120"/>
              <w:jc w:val="left"/>
              <w:rPr>
                <w:bCs/>
                <w:iCs/>
                <w:lang w:val="en-US"/>
              </w:rPr>
            </w:pPr>
            <w:r w:rsidRPr="00277F32">
              <w:rPr>
                <w:bCs/>
                <w:iCs/>
                <w:lang w:val="en-US"/>
              </w:rPr>
              <w:t xml:space="preserve">On 16 June 2020 the Court of Justice of the European Union </w:t>
            </w:r>
            <w:r w:rsidRPr="006D6F79">
              <w:rPr>
                <w:lang w:val="en-US"/>
              </w:rPr>
              <w:t>in</w:t>
            </w:r>
            <w:r w:rsidRPr="00030685">
              <w:rPr>
                <w:bCs/>
                <w:iCs/>
                <w:lang w:val="en-US"/>
              </w:rPr>
              <w:t xml:space="preserve"> Case C‑311/18 </w:t>
            </w:r>
            <w:r w:rsidRPr="00277F32">
              <w:rPr>
                <w:bCs/>
                <w:iCs/>
                <w:lang w:val="en-US"/>
              </w:rPr>
              <w:t>invalidated</w:t>
            </w:r>
            <w:r w:rsidRPr="00277F32">
              <w:rPr>
                <w:lang w:val="en-US"/>
              </w:rPr>
              <w:t xml:space="preserve"> </w:t>
            </w:r>
            <w:r w:rsidRPr="00277F32">
              <w:rPr>
                <w:bCs/>
                <w:iCs/>
                <w:lang w:val="en-US"/>
              </w:rPr>
              <w:t>Decision 2016/1250 on the adequacy of the</w:t>
            </w:r>
            <w:r>
              <w:rPr>
                <w:bCs/>
                <w:iCs/>
                <w:lang w:val="en-US"/>
              </w:rPr>
              <w:t xml:space="preserve"> </w:t>
            </w:r>
            <w:r w:rsidRPr="00277F32">
              <w:rPr>
                <w:bCs/>
                <w:iCs/>
                <w:lang w:val="en-US"/>
              </w:rPr>
              <w:t>protection provided by the EU-US Data Protection Shield</w:t>
            </w:r>
            <w:r>
              <w:rPr>
                <w:bCs/>
                <w:iCs/>
                <w:lang w:val="en-US"/>
              </w:rPr>
              <w:t xml:space="preserve">. </w:t>
            </w:r>
          </w:p>
          <w:p w14:paraId="1D2B9DF1" w14:textId="77777777" w:rsidR="006D6F79" w:rsidRDefault="006D6F79" w:rsidP="00CE06E5">
            <w:pPr>
              <w:spacing w:before="120"/>
              <w:jc w:val="left"/>
              <w:rPr>
                <w:lang w:val="en-US"/>
              </w:rPr>
            </w:pPr>
            <w:r>
              <w:rPr>
                <w:lang w:val="en-US"/>
              </w:rPr>
              <w:t>This instrument seeks to replace the references to EU-US Privacy Shield in all agreements between the parties with SCC provisions. The instruments amends any agreements that the parties mention in Annex 1 to it. The parties may also clarify certain aspects of the processing that are relevant to a particular contract by providing overriding descriptions in the same Annex 1 (e.g. provide security measures overriding those under the previous arrangements).</w:t>
            </w:r>
          </w:p>
          <w:p w14:paraId="5E203273" w14:textId="77777777" w:rsidR="006D6F79" w:rsidRDefault="006D6F79" w:rsidP="00CE06E5">
            <w:pPr>
              <w:spacing w:before="120"/>
              <w:jc w:val="left"/>
              <w:rPr>
                <w:lang w:val="en-US"/>
              </w:rPr>
            </w:pPr>
            <w:r>
              <w:rPr>
                <w:lang w:val="en-US"/>
              </w:rPr>
              <w:t>The instrument also contains a mechanism to adapt to the risk of suspension of data flows that became more prominent to the judgement, namely under paragraphs 106-121.</w:t>
            </w:r>
          </w:p>
          <w:p w14:paraId="08BFFE86" w14:textId="6DC62DB1" w:rsidR="00E54F35" w:rsidRPr="00E54F35" w:rsidRDefault="00E54F35" w:rsidP="00CE06E5">
            <w:pPr>
              <w:spacing w:before="120"/>
              <w:jc w:val="left"/>
              <w:rPr>
                <w:lang w:val="en-US"/>
              </w:rPr>
            </w:pPr>
            <w:r w:rsidRPr="00E54F35">
              <w:rPr>
                <w:lang w:val="en-US"/>
              </w:rPr>
              <w:t>The agreement also contains a placeholder for the parties’ due diligence of data importer’s legislation and abilit</w:t>
            </w:r>
            <w:r w:rsidR="002662E7">
              <w:rPr>
                <w:lang w:val="en-US"/>
              </w:rPr>
              <w:t xml:space="preserve">y to provide equivalent protection </w:t>
            </w:r>
            <w:r w:rsidRPr="00E54F35">
              <w:rPr>
                <w:lang w:val="en-US"/>
              </w:rPr>
              <w:t>in Annex 2.</w:t>
            </w:r>
          </w:p>
        </w:tc>
      </w:tr>
      <w:tr w:rsidR="00CE06E5" w:rsidRPr="00823A43" w14:paraId="15D6A436" w14:textId="77777777" w:rsidTr="00CE06E5">
        <w:tc>
          <w:tcPr>
            <w:tcW w:w="1696" w:type="dxa"/>
          </w:tcPr>
          <w:p w14:paraId="742F0ED7" w14:textId="0F72BC8C" w:rsidR="00CE06E5" w:rsidRPr="006D6F79" w:rsidRDefault="00CE06E5" w:rsidP="00CE06E5">
            <w:pPr>
              <w:spacing w:before="120"/>
              <w:jc w:val="left"/>
              <w:rPr>
                <w:b/>
                <w:bCs/>
                <w:lang w:val="en-US"/>
              </w:rPr>
            </w:pPr>
            <w:r w:rsidRPr="006D6F79">
              <w:rPr>
                <w:b/>
                <w:bCs/>
                <w:lang w:val="en-US"/>
              </w:rPr>
              <w:t>Fields</w:t>
            </w:r>
          </w:p>
        </w:tc>
        <w:tc>
          <w:tcPr>
            <w:tcW w:w="7649" w:type="dxa"/>
          </w:tcPr>
          <w:p w14:paraId="788E93A3" w14:textId="21DC0F77" w:rsidR="00F03965" w:rsidRPr="00F03965" w:rsidRDefault="00F03965" w:rsidP="00CE06E5">
            <w:pPr>
              <w:spacing w:before="120"/>
              <w:jc w:val="left"/>
              <w:rPr>
                <w:lang w:val="en-US"/>
              </w:rPr>
            </w:pPr>
            <w:r w:rsidRPr="00F03965">
              <w:rPr>
                <w:lang w:val="en-US"/>
              </w:rPr>
              <w:fldChar w:fldCharType="begin"/>
            </w:r>
            <w:r w:rsidRPr="00F03965">
              <w:rPr>
                <w:lang w:val="en-US"/>
              </w:rPr>
              <w:instrText xml:space="preserve"> MERGEFIELD  AmendmentDate  \* MERGEFORMAT </w:instrText>
            </w:r>
            <w:r w:rsidRPr="00F03965">
              <w:rPr>
                <w:lang w:val="en-US"/>
              </w:rPr>
              <w:fldChar w:fldCharType="separate"/>
            </w:r>
            <w:r w:rsidR="002662E7">
              <w:rPr>
                <w:noProof/>
                <w:lang w:val="en-US"/>
              </w:rPr>
              <w:t>«AmendmentDate»</w:t>
            </w:r>
            <w:r w:rsidRPr="00F03965">
              <w:rPr>
                <w:lang w:val="en-US"/>
              </w:rPr>
              <w:fldChar w:fldCharType="end"/>
            </w:r>
            <w:r w:rsidRPr="003B7DAB">
              <w:rPr>
                <w:lang w:val="en-US"/>
              </w:rPr>
              <w:t xml:space="preserve"> - </w:t>
            </w:r>
            <w:r>
              <w:rPr>
                <w:lang w:val="en-US"/>
              </w:rPr>
              <w:t xml:space="preserve">date of the </w:t>
            </w:r>
            <w:r w:rsidR="003B7DAB">
              <w:rPr>
                <w:lang w:val="en-US"/>
              </w:rPr>
              <w:t>amendment agreement</w:t>
            </w:r>
          </w:p>
          <w:p w14:paraId="48F08F89" w14:textId="3C9D7FC1" w:rsidR="00CE06E5" w:rsidRPr="00F03965" w:rsidRDefault="006D6F79" w:rsidP="00CE06E5">
            <w:pPr>
              <w:spacing w:before="120"/>
              <w:jc w:val="left"/>
              <w:rPr>
                <w:lang w:val="en-US"/>
              </w:rPr>
            </w:pPr>
            <w:r w:rsidRPr="00F03965">
              <w:rPr>
                <w:lang w:val="en-US"/>
              </w:rPr>
              <w:fldChar w:fldCharType="begin"/>
            </w:r>
            <w:r w:rsidRPr="00F03965">
              <w:rPr>
                <w:lang w:val="en-US"/>
              </w:rPr>
              <w:instrText xml:space="preserve"> MERGEFIELD  ControllerName  \* MERGEFORMAT </w:instrText>
            </w:r>
            <w:r w:rsidRPr="00F03965">
              <w:rPr>
                <w:lang w:val="en-US"/>
              </w:rPr>
              <w:fldChar w:fldCharType="separate"/>
            </w:r>
            <w:r w:rsidR="002662E7">
              <w:rPr>
                <w:noProof/>
                <w:lang w:val="en-US"/>
              </w:rPr>
              <w:t>«ControllerName»</w:t>
            </w:r>
            <w:r w:rsidRPr="00F03965">
              <w:rPr>
                <w:lang w:val="en-US"/>
              </w:rPr>
              <w:fldChar w:fldCharType="end"/>
            </w:r>
            <w:r w:rsidR="003B7DAB">
              <w:rPr>
                <w:lang w:val="en-US"/>
              </w:rPr>
              <w:t xml:space="preserve"> - name of controller and data exporter</w:t>
            </w:r>
          </w:p>
          <w:p w14:paraId="4B80E63A" w14:textId="5749CF27" w:rsidR="00F03965" w:rsidRPr="00F03965" w:rsidRDefault="00F03965" w:rsidP="00CE06E5">
            <w:pPr>
              <w:spacing w:before="120"/>
              <w:jc w:val="left"/>
              <w:rPr>
                <w:lang w:val="en-US"/>
              </w:rPr>
            </w:pPr>
            <w:r w:rsidRPr="00F03965">
              <w:rPr>
                <w:lang w:val="en-US"/>
              </w:rPr>
              <w:fldChar w:fldCharType="begin"/>
            </w:r>
            <w:r w:rsidRPr="00F03965">
              <w:rPr>
                <w:lang w:val="en-US"/>
              </w:rPr>
              <w:instrText xml:space="preserve"> MERGEFIELD  ControllerIncorpJurisdiction  \* MERGEFORMAT </w:instrText>
            </w:r>
            <w:r w:rsidRPr="00F03965">
              <w:rPr>
                <w:lang w:val="en-US"/>
              </w:rPr>
              <w:fldChar w:fldCharType="separate"/>
            </w:r>
            <w:r w:rsidR="002662E7">
              <w:rPr>
                <w:noProof/>
                <w:lang w:val="en-US"/>
              </w:rPr>
              <w:t>«ControllerIncorpJurisdiction»</w:t>
            </w:r>
            <w:r w:rsidRPr="00F03965">
              <w:rPr>
                <w:lang w:val="en-US"/>
              </w:rPr>
              <w:fldChar w:fldCharType="end"/>
            </w:r>
            <w:r w:rsidR="003B7DAB">
              <w:rPr>
                <w:lang w:val="en-US"/>
              </w:rPr>
              <w:t xml:space="preserve"> - place of incorporation of the controller</w:t>
            </w:r>
          </w:p>
          <w:p w14:paraId="033F94B3" w14:textId="4CB8DB30" w:rsidR="00F03965" w:rsidRPr="003B7DAB" w:rsidRDefault="00F03965" w:rsidP="00CE06E5">
            <w:pPr>
              <w:spacing w:before="120"/>
              <w:jc w:val="left"/>
              <w:rPr>
                <w:lang w:val="en-US"/>
              </w:rPr>
            </w:pPr>
            <w:r w:rsidRPr="00F03965">
              <w:rPr>
                <w:lang w:val="en-US"/>
              </w:rPr>
              <w:fldChar w:fldCharType="begin"/>
            </w:r>
            <w:r w:rsidRPr="003B7DAB">
              <w:rPr>
                <w:lang w:val="en-US"/>
              </w:rPr>
              <w:instrText xml:space="preserve"> MERGEFIELD  ControllerRegNo  \* MERGEFORMAT </w:instrText>
            </w:r>
            <w:r w:rsidRPr="00F03965">
              <w:rPr>
                <w:lang w:val="en-US"/>
              </w:rPr>
              <w:fldChar w:fldCharType="separate"/>
            </w:r>
            <w:r w:rsidR="002662E7">
              <w:rPr>
                <w:noProof/>
                <w:lang w:val="en-US"/>
              </w:rPr>
              <w:t>«ControllerRegNo»</w:t>
            </w:r>
            <w:r w:rsidRPr="00F03965">
              <w:rPr>
                <w:lang w:val="en-US"/>
              </w:rPr>
              <w:fldChar w:fldCharType="end"/>
            </w:r>
            <w:r w:rsidR="003B7DAB" w:rsidRPr="003B7DAB">
              <w:rPr>
                <w:lang w:val="en-US"/>
              </w:rPr>
              <w:t xml:space="preserve"> - controller’s company registration number</w:t>
            </w:r>
          </w:p>
          <w:p w14:paraId="3BD1579A" w14:textId="1EFC8942" w:rsidR="00F03965" w:rsidRDefault="00F03965" w:rsidP="00CE06E5">
            <w:pPr>
              <w:spacing w:before="120"/>
              <w:jc w:val="left"/>
              <w:rPr>
                <w:lang w:val="en-US"/>
              </w:rPr>
            </w:pPr>
            <w:r w:rsidRPr="00F03965">
              <w:rPr>
                <w:lang w:val="en-US"/>
              </w:rPr>
              <w:fldChar w:fldCharType="begin"/>
            </w:r>
            <w:r w:rsidRPr="003B7DAB">
              <w:rPr>
                <w:lang w:val="en-US"/>
              </w:rPr>
              <w:instrText xml:space="preserve"> MERGEFIELD  ControllerRegAddress  \* MERGEFORMAT </w:instrText>
            </w:r>
            <w:r w:rsidRPr="00F03965">
              <w:rPr>
                <w:lang w:val="en-US"/>
              </w:rPr>
              <w:fldChar w:fldCharType="separate"/>
            </w:r>
            <w:r w:rsidR="002662E7">
              <w:rPr>
                <w:noProof/>
                <w:lang w:val="en-US"/>
              </w:rPr>
              <w:t>«ControllerRegAddress»</w:t>
            </w:r>
            <w:r w:rsidRPr="00F03965">
              <w:rPr>
                <w:lang w:val="en-US"/>
              </w:rPr>
              <w:fldChar w:fldCharType="end"/>
            </w:r>
            <w:r w:rsidR="003B7DAB">
              <w:rPr>
                <w:lang w:val="en-US"/>
              </w:rPr>
              <w:t xml:space="preserve"> - </w:t>
            </w:r>
            <w:r w:rsidR="003B7DAB" w:rsidRPr="003B7DAB">
              <w:rPr>
                <w:lang w:val="en-US"/>
              </w:rPr>
              <w:t>controller’s addres</w:t>
            </w:r>
            <w:r w:rsidR="003B7DAB">
              <w:rPr>
                <w:lang w:val="en-US"/>
              </w:rPr>
              <w:t>s</w:t>
            </w:r>
          </w:p>
          <w:p w14:paraId="6CCB991E" w14:textId="05AF490C" w:rsidR="003B7DAB" w:rsidRPr="00F03965" w:rsidRDefault="003B7DAB" w:rsidP="003B7DAB">
            <w:pPr>
              <w:spacing w:before="120"/>
              <w:jc w:val="left"/>
              <w:rPr>
                <w:lang w:val="en-US"/>
              </w:rPr>
            </w:pPr>
            <w:r w:rsidRPr="00F03965">
              <w:rPr>
                <w:lang w:val="en-US"/>
              </w:rPr>
              <w:fldChar w:fldCharType="begin"/>
            </w:r>
            <w:r w:rsidRPr="00F03965">
              <w:rPr>
                <w:lang w:val="en-US"/>
              </w:rPr>
              <w:instrText xml:space="preserve"> MERGEFIELD  ControllerSigName  \* MERGEFORMAT </w:instrText>
            </w:r>
            <w:r w:rsidRPr="00F03965">
              <w:rPr>
                <w:lang w:val="en-US"/>
              </w:rPr>
              <w:fldChar w:fldCharType="separate"/>
            </w:r>
            <w:r w:rsidR="002662E7">
              <w:rPr>
                <w:noProof/>
                <w:lang w:val="en-US"/>
              </w:rPr>
              <w:t>«ControllerSigName»</w:t>
            </w:r>
            <w:r w:rsidRPr="00F03965">
              <w:rPr>
                <w:lang w:val="en-US"/>
              </w:rPr>
              <w:fldChar w:fldCharType="end"/>
            </w:r>
            <w:r>
              <w:rPr>
                <w:lang w:val="en-US"/>
              </w:rPr>
              <w:t xml:space="preserve"> - name of signatory on controller’s behalf</w:t>
            </w:r>
          </w:p>
          <w:p w14:paraId="3F95B19D" w14:textId="708D673B" w:rsidR="003B7DAB" w:rsidRPr="003B7DAB" w:rsidRDefault="003B7DAB" w:rsidP="00CE06E5">
            <w:pPr>
              <w:spacing w:before="120"/>
              <w:jc w:val="left"/>
              <w:rPr>
                <w:color w:val="000000"/>
                <w:lang w:val="en-US"/>
              </w:rPr>
            </w:pPr>
            <w:r w:rsidRPr="00F03965">
              <w:rPr>
                <w:color w:val="000000"/>
              </w:rPr>
              <w:fldChar w:fldCharType="begin"/>
            </w:r>
            <w:r w:rsidRPr="003B7DAB">
              <w:rPr>
                <w:color w:val="000000"/>
                <w:lang w:val="en-US"/>
              </w:rPr>
              <w:instrText xml:space="preserve"> MERGEFIELD  ControllerSigPosition  \* MERGEFORMAT </w:instrText>
            </w:r>
            <w:r w:rsidRPr="00F03965">
              <w:rPr>
                <w:color w:val="000000"/>
              </w:rPr>
              <w:fldChar w:fldCharType="separate"/>
            </w:r>
            <w:r w:rsidR="002662E7">
              <w:rPr>
                <w:noProof/>
                <w:color w:val="000000"/>
                <w:lang w:val="en-US"/>
              </w:rPr>
              <w:t>«ControllerSigPosition»</w:t>
            </w:r>
            <w:r w:rsidRPr="00F03965">
              <w:rPr>
                <w:color w:val="000000"/>
              </w:rPr>
              <w:fldChar w:fldCharType="end"/>
            </w:r>
            <w:r>
              <w:rPr>
                <w:color w:val="000000"/>
                <w:lang w:val="en-US"/>
              </w:rPr>
              <w:t xml:space="preserve"> - position of </w:t>
            </w:r>
            <w:r>
              <w:rPr>
                <w:lang w:val="en-US"/>
              </w:rPr>
              <w:t>signatory on controller’s behalf</w:t>
            </w:r>
          </w:p>
          <w:p w14:paraId="1E498FC7" w14:textId="1544BA58" w:rsidR="00F03965" w:rsidRPr="00F03965" w:rsidRDefault="00F03965" w:rsidP="00CE06E5">
            <w:pPr>
              <w:spacing w:before="120"/>
              <w:jc w:val="left"/>
              <w:rPr>
                <w:lang w:val="en-US"/>
              </w:rPr>
            </w:pPr>
            <w:r w:rsidRPr="00F03965">
              <w:rPr>
                <w:lang w:val="en-US"/>
              </w:rPr>
              <w:fldChar w:fldCharType="begin"/>
            </w:r>
            <w:r w:rsidRPr="00F03965">
              <w:rPr>
                <w:lang w:val="en-US"/>
              </w:rPr>
              <w:instrText xml:space="preserve"> MERGEFIELD  ProcessorName  \* MERGEFORMAT </w:instrText>
            </w:r>
            <w:r w:rsidRPr="00F03965">
              <w:rPr>
                <w:lang w:val="en-US"/>
              </w:rPr>
              <w:fldChar w:fldCharType="separate"/>
            </w:r>
            <w:r w:rsidR="002662E7">
              <w:rPr>
                <w:noProof/>
                <w:lang w:val="en-US"/>
              </w:rPr>
              <w:t>«ProcessorName»</w:t>
            </w:r>
            <w:r w:rsidRPr="00F03965">
              <w:rPr>
                <w:lang w:val="en-US"/>
              </w:rPr>
              <w:fldChar w:fldCharType="end"/>
            </w:r>
            <w:r w:rsidR="003B7DAB">
              <w:rPr>
                <w:lang w:val="en-US"/>
              </w:rPr>
              <w:t xml:space="preserve"> - name of processor and data importer</w:t>
            </w:r>
          </w:p>
          <w:p w14:paraId="68610622" w14:textId="2369678F" w:rsidR="00F03965" w:rsidRPr="00F03965" w:rsidRDefault="00F03965" w:rsidP="00CE06E5">
            <w:pPr>
              <w:spacing w:before="120"/>
              <w:jc w:val="left"/>
              <w:rPr>
                <w:lang w:val="en-US"/>
              </w:rPr>
            </w:pPr>
            <w:r w:rsidRPr="00F03965">
              <w:rPr>
                <w:lang w:val="en-US"/>
              </w:rPr>
              <w:fldChar w:fldCharType="begin"/>
            </w:r>
            <w:r w:rsidRPr="00F03965">
              <w:rPr>
                <w:lang w:val="en-US"/>
              </w:rPr>
              <w:instrText xml:space="preserve"> MERGEFIELD  ProcessorIncorpJurisdiction  \* MERGEFORMAT </w:instrText>
            </w:r>
            <w:r w:rsidRPr="00F03965">
              <w:rPr>
                <w:lang w:val="en-US"/>
              </w:rPr>
              <w:fldChar w:fldCharType="separate"/>
            </w:r>
            <w:r w:rsidR="002662E7">
              <w:rPr>
                <w:noProof/>
                <w:lang w:val="en-US"/>
              </w:rPr>
              <w:t>«ProcessorIncorpJurisdiction»</w:t>
            </w:r>
            <w:r w:rsidRPr="00F03965">
              <w:rPr>
                <w:lang w:val="en-US"/>
              </w:rPr>
              <w:fldChar w:fldCharType="end"/>
            </w:r>
            <w:r w:rsidR="003B7DAB">
              <w:rPr>
                <w:lang w:val="en-US"/>
              </w:rPr>
              <w:t xml:space="preserve"> - place of incorporation of the processor</w:t>
            </w:r>
          </w:p>
          <w:p w14:paraId="729E0A0A" w14:textId="771B0590" w:rsidR="00F03965" w:rsidRPr="00F03965" w:rsidRDefault="00F03965" w:rsidP="00CE06E5">
            <w:pPr>
              <w:spacing w:before="120"/>
              <w:jc w:val="left"/>
              <w:rPr>
                <w:lang w:val="en-US"/>
              </w:rPr>
            </w:pPr>
            <w:r w:rsidRPr="00F03965">
              <w:rPr>
                <w:lang w:val="en-US"/>
              </w:rPr>
              <w:fldChar w:fldCharType="begin"/>
            </w:r>
            <w:r w:rsidRPr="00F03965">
              <w:rPr>
                <w:lang w:val="en-US"/>
              </w:rPr>
              <w:instrText xml:space="preserve"> MERGEFIELD  ProcessorRegNo  \* MERGEFORMAT </w:instrText>
            </w:r>
            <w:r w:rsidRPr="00F03965">
              <w:rPr>
                <w:lang w:val="en-US"/>
              </w:rPr>
              <w:fldChar w:fldCharType="separate"/>
            </w:r>
            <w:r w:rsidR="002662E7">
              <w:rPr>
                <w:noProof/>
                <w:lang w:val="en-US"/>
              </w:rPr>
              <w:t>«ProcessorRegNo»</w:t>
            </w:r>
            <w:r w:rsidRPr="00F03965">
              <w:rPr>
                <w:lang w:val="en-US"/>
              </w:rPr>
              <w:fldChar w:fldCharType="end"/>
            </w:r>
            <w:r w:rsidR="003B7DAB">
              <w:rPr>
                <w:lang w:val="en-US"/>
              </w:rPr>
              <w:t xml:space="preserve"> - processor’s </w:t>
            </w:r>
            <w:r w:rsidR="003B7DAB" w:rsidRPr="003B7DAB">
              <w:rPr>
                <w:lang w:val="en-US"/>
              </w:rPr>
              <w:t>company registration number</w:t>
            </w:r>
          </w:p>
          <w:p w14:paraId="311179CB" w14:textId="28746233" w:rsidR="00F03965" w:rsidRPr="00F03965" w:rsidRDefault="00F03965" w:rsidP="00CE06E5">
            <w:pPr>
              <w:spacing w:before="120"/>
              <w:jc w:val="left"/>
              <w:rPr>
                <w:lang w:val="en-US"/>
              </w:rPr>
            </w:pPr>
            <w:r w:rsidRPr="00F03965">
              <w:rPr>
                <w:lang w:val="en-US"/>
              </w:rPr>
              <w:fldChar w:fldCharType="begin"/>
            </w:r>
            <w:r w:rsidRPr="00F03965">
              <w:rPr>
                <w:lang w:val="en-US"/>
              </w:rPr>
              <w:instrText xml:space="preserve"> MERGEFIELD  ProcessorRegAddress  \* MERGEFORMAT </w:instrText>
            </w:r>
            <w:r w:rsidRPr="00F03965">
              <w:rPr>
                <w:lang w:val="en-US"/>
              </w:rPr>
              <w:fldChar w:fldCharType="separate"/>
            </w:r>
            <w:r w:rsidR="002662E7">
              <w:rPr>
                <w:noProof/>
                <w:lang w:val="en-US"/>
              </w:rPr>
              <w:t>«ProcessorRegAddress»</w:t>
            </w:r>
            <w:r w:rsidRPr="00F03965">
              <w:rPr>
                <w:lang w:val="en-US"/>
              </w:rPr>
              <w:fldChar w:fldCharType="end"/>
            </w:r>
            <w:r w:rsidR="003B7DAB">
              <w:rPr>
                <w:lang w:val="en-US"/>
              </w:rPr>
              <w:t xml:space="preserve"> - processor’s </w:t>
            </w:r>
            <w:r w:rsidR="003B7DAB" w:rsidRPr="003B7DAB">
              <w:rPr>
                <w:lang w:val="en-US"/>
              </w:rPr>
              <w:t>addres</w:t>
            </w:r>
            <w:r w:rsidR="003B7DAB">
              <w:rPr>
                <w:lang w:val="en-US"/>
              </w:rPr>
              <w:t>s</w:t>
            </w:r>
          </w:p>
          <w:p w14:paraId="1C34F395" w14:textId="1AE937B2" w:rsidR="00F03965" w:rsidRPr="003B7DAB" w:rsidRDefault="00F03965" w:rsidP="00CE06E5">
            <w:pPr>
              <w:spacing w:before="120"/>
              <w:jc w:val="left"/>
              <w:rPr>
                <w:lang w:val="en-US"/>
              </w:rPr>
            </w:pPr>
            <w:r w:rsidRPr="00F03965">
              <w:rPr>
                <w:color w:val="000000"/>
                <w:lang w:val="en-US"/>
              </w:rPr>
              <w:fldChar w:fldCharType="begin"/>
            </w:r>
            <w:r w:rsidRPr="00F03965">
              <w:rPr>
                <w:color w:val="000000"/>
                <w:lang w:val="en-US"/>
              </w:rPr>
              <w:instrText xml:space="preserve"> MERGEFIELD  ProcessorSigName  \* MERGEFORMAT </w:instrText>
            </w:r>
            <w:r w:rsidRPr="00F03965">
              <w:rPr>
                <w:color w:val="000000"/>
                <w:lang w:val="en-US"/>
              </w:rPr>
              <w:fldChar w:fldCharType="separate"/>
            </w:r>
            <w:r w:rsidR="002662E7">
              <w:rPr>
                <w:noProof/>
                <w:color w:val="000000"/>
                <w:lang w:val="en-US"/>
              </w:rPr>
              <w:t>«ProcessorSigName»</w:t>
            </w:r>
            <w:r w:rsidRPr="00F03965">
              <w:rPr>
                <w:color w:val="000000"/>
                <w:lang w:val="en-US"/>
              </w:rPr>
              <w:fldChar w:fldCharType="end"/>
            </w:r>
            <w:r w:rsidR="003B7DAB">
              <w:rPr>
                <w:color w:val="000000"/>
                <w:lang w:val="en-US"/>
              </w:rPr>
              <w:t xml:space="preserve"> </w:t>
            </w:r>
            <w:r w:rsidR="003B7DAB">
              <w:rPr>
                <w:lang w:val="en-US"/>
              </w:rPr>
              <w:t xml:space="preserve">- name of signatory on </w:t>
            </w:r>
            <w:r w:rsidR="00A8264E">
              <w:rPr>
                <w:lang w:val="en-US"/>
              </w:rPr>
              <w:t xml:space="preserve">processor’s </w:t>
            </w:r>
            <w:r w:rsidR="003B7DAB">
              <w:rPr>
                <w:lang w:val="en-US"/>
              </w:rPr>
              <w:t>behalf</w:t>
            </w:r>
          </w:p>
          <w:p w14:paraId="4C59386E" w14:textId="0F3F2A43" w:rsidR="00F03965" w:rsidRPr="003B7DAB" w:rsidRDefault="00F03965" w:rsidP="00CE06E5">
            <w:pPr>
              <w:spacing w:before="120"/>
              <w:jc w:val="left"/>
              <w:rPr>
                <w:lang w:val="en-US"/>
              </w:rPr>
            </w:pPr>
            <w:r w:rsidRPr="00F03965">
              <w:rPr>
                <w:color w:val="000000"/>
                <w:lang w:val="en-US"/>
              </w:rPr>
              <w:fldChar w:fldCharType="begin"/>
            </w:r>
            <w:r w:rsidRPr="00F03965">
              <w:rPr>
                <w:color w:val="000000"/>
                <w:lang w:val="en-US"/>
              </w:rPr>
              <w:instrText xml:space="preserve"> MERGEFIELD  ProcessorSigPosition  \* MERGEFORMAT </w:instrText>
            </w:r>
            <w:r w:rsidRPr="00F03965">
              <w:rPr>
                <w:color w:val="000000"/>
                <w:lang w:val="en-US"/>
              </w:rPr>
              <w:fldChar w:fldCharType="separate"/>
            </w:r>
            <w:r w:rsidR="002662E7">
              <w:rPr>
                <w:noProof/>
                <w:color w:val="000000"/>
                <w:lang w:val="en-US"/>
              </w:rPr>
              <w:t>«ProcessorSigPosition»</w:t>
            </w:r>
            <w:r w:rsidRPr="00F03965">
              <w:rPr>
                <w:color w:val="000000"/>
                <w:lang w:val="en-US"/>
              </w:rPr>
              <w:fldChar w:fldCharType="end"/>
            </w:r>
            <w:r w:rsidR="003B7DAB">
              <w:rPr>
                <w:color w:val="000000"/>
                <w:lang w:val="en-US"/>
              </w:rPr>
              <w:t xml:space="preserve"> - position of </w:t>
            </w:r>
            <w:r w:rsidR="003B7DAB">
              <w:rPr>
                <w:lang w:val="en-US"/>
              </w:rPr>
              <w:t xml:space="preserve">signatory on </w:t>
            </w:r>
            <w:r w:rsidR="00A8264E">
              <w:rPr>
                <w:lang w:val="en-US"/>
              </w:rPr>
              <w:t xml:space="preserve">processor’s </w:t>
            </w:r>
            <w:r w:rsidR="003B7DAB">
              <w:rPr>
                <w:lang w:val="en-US"/>
              </w:rPr>
              <w:t>behalf</w:t>
            </w:r>
          </w:p>
        </w:tc>
      </w:tr>
      <w:tr w:rsidR="00E54F35" w:rsidRPr="00823A43" w14:paraId="1BF13CFC" w14:textId="77777777" w:rsidTr="00CE06E5">
        <w:tc>
          <w:tcPr>
            <w:tcW w:w="1696" w:type="dxa"/>
          </w:tcPr>
          <w:p w14:paraId="427A1487" w14:textId="035EF777" w:rsidR="00E54F35" w:rsidRPr="006D6F79" w:rsidRDefault="00E54F35" w:rsidP="00CE06E5">
            <w:pPr>
              <w:spacing w:before="120"/>
              <w:jc w:val="left"/>
              <w:rPr>
                <w:b/>
                <w:bCs/>
                <w:lang w:val="en-US"/>
              </w:rPr>
            </w:pPr>
            <w:r>
              <w:rPr>
                <w:b/>
                <w:bCs/>
                <w:lang w:val="en-US"/>
              </w:rPr>
              <w:t>Disclaimer</w:t>
            </w:r>
          </w:p>
        </w:tc>
        <w:tc>
          <w:tcPr>
            <w:tcW w:w="7649" w:type="dxa"/>
          </w:tcPr>
          <w:p w14:paraId="60724C98" w14:textId="619649F1" w:rsidR="00E54F35" w:rsidRPr="00F03965" w:rsidRDefault="00E54F35" w:rsidP="00CE06E5">
            <w:pPr>
              <w:spacing w:before="120"/>
              <w:jc w:val="left"/>
              <w:rPr>
                <w:lang w:val="en-US"/>
              </w:rPr>
            </w:pPr>
            <w:r>
              <w:rPr>
                <w:lang w:val="en-US"/>
              </w:rPr>
              <w:t xml:space="preserve">This document shall be amended and supplemented before </w:t>
            </w:r>
            <w:r w:rsidR="002711F4">
              <w:rPr>
                <w:lang w:val="en-US"/>
              </w:rPr>
              <w:t>applied</w:t>
            </w:r>
            <w:r>
              <w:rPr>
                <w:lang w:val="en-US"/>
              </w:rPr>
              <w:t xml:space="preserve"> in practice</w:t>
            </w:r>
            <w:r w:rsidR="002711F4">
              <w:rPr>
                <w:lang w:val="en-US"/>
              </w:rPr>
              <w:t xml:space="preserve"> and does not constitute legal advice. Please seek professional legal help before using it. Any liability is hereby disclaimed.</w:t>
            </w:r>
          </w:p>
        </w:tc>
      </w:tr>
    </w:tbl>
    <w:p w14:paraId="65905622" w14:textId="179AFAEB" w:rsidR="00D61D5C" w:rsidRPr="002711F4" w:rsidRDefault="00D61D5C">
      <w:pPr>
        <w:spacing w:after="160"/>
        <w:jc w:val="left"/>
        <w:rPr>
          <w:sz w:val="2"/>
          <w:szCs w:val="2"/>
          <w:lang w:val="en-US"/>
        </w:rPr>
      </w:pPr>
    </w:p>
    <w:p w14:paraId="4BB98B96" w14:textId="0831477E" w:rsidR="00D61D5C" w:rsidRDefault="00D61D5C">
      <w:pPr>
        <w:spacing w:after="160"/>
        <w:jc w:val="left"/>
        <w:rPr>
          <w:b/>
          <w:smallCaps/>
          <w:lang w:val="en-US"/>
        </w:rPr>
      </w:pPr>
      <w:r w:rsidRPr="00D61D5C">
        <w:rPr>
          <w:lang w:val="en-US"/>
        </w:rPr>
        <w:br w:type="page"/>
      </w:r>
    </w:p>
    <w:p w14:paraId="10F1D065" w14:textId="7A7092B8" w:rsidR="000D0731" w:rsidRDefault="000D0731" w:rsidP="000D0731">
      <w:pPr>
        <w:pStyle w:val="a8"/>
      </w:pPr>
      <w:r>
        <w:lastRenderedPageBreak/>
        <w:t>EU-US Privacy Shield to SCC Amendment for</w:t>
      </w:r>
      <w:r>
        <w:br/>
        <w:t>Controller to Processor Transfer</w:t>
      </w:r>
    </w:p>
    <w:p w14:paraId="27D46678" w14:textId="1C44B294" w:rsidR="000D0731" w:rsidRDefault="000D0731" w:rsidP="000D0731">
      <w:pPr>
        <w:rPr>
          <w:lang w:val="en-US"/>
        </w:rPr>
      </w:pPr>
      <w:r>
        <w:rPr>
          <w:lang w:val="en-US"/>
        </w:rPr>
        <w:t xml:space="preserve">This EU-US Privacy Shield to SCC Amendment for Controller to Processor Transfer (the </w:t>
      </w:r>
      <w:r w:rsidRPr="00865219">
        <w:rPr>
          <w:b/>
          <w:bCs/>
          <w:lang w:val="en-US"/>
        </w:rPr>
        <w:t>Amendment</w:t>
      </w:r>
      <w:r>
        <w:rPr>
          <w:lang w:val="en-US"/>
        </w:rPr>
        <w:t xml:space="preserve">) is concluded on </w:t>
      </w:r>
      <w:r>
        <w:rPr>
          <w:lang w:val="en-US"/>
        </w:rPr>
        <w:fldChar w:fldCharType="begin"/>
      </w:r>
      <w:r>
        <w:rPr>
          <w:lang w:val="en-US"/>
        </w:rPr>
        <w:instrText xml:space="preserve"> MERGEFIELD  AmendmentDate  \* MERGEFORMAT </w:instrText>
      </w:r>
      <w:r>
        <w:rPr>
          <w:lang w:val="en-US"/>
        </w:rPr>
        <w:fldChar w:fldCharType="separate"/>
      </w:r>
      <w:r w:rsidR="002662E7">
        <w:rPr>
          <w:noProof/>
          <w:lang w:val="en-US"/>
        </w:rPr>
        <w:t>«AmendmentDate»</w:t>
      </w:r>
      <w:r>
        <w:rPr>
          <w:lang w:val="en-US"/>
        </w:rPr>
        <w:fldChar w:fldCharType="end"/>
      </w:r>
      <w:r>
        <w:rPr>
          <w:lang w:val="en-US"/>
        </w:rPr>
        <w:t xml:space="preserve"> between:</w:t>
      </w:r>
    </w:p>
    <w:p w14:paraId="1A6BD0C7" w14:textId="29550624" w:rsidR="000D0731" w:rsidRDefault="000D0731" w:rsidP="000D0731">
      <w:pPr>
        <w:pStyle w:val="a0"/>
        <w:numPr>
          <w:ilvl w:val="0"/>
          <w:numId w:val="2"/>
        </w:numPr>
        <w:ind w:left="567" w:hanging="567"/>
        <w:contextualSpacing w:val="0"/>
        <w:rPr>
          <w:lang w:val="en-US"/>
        </w:rPr>
      </w:pPr>
      <w:r w:rsidRPr="00865219">
        <w:rPr>
          <w:b/>
          <w:bCs/>
          <w:lang w:val="en-US"/>
        </w:rPr>
        <w:fldChar w:fldCharType="begin"/>
      </w:r>
      <w:r w:rsidRPr="00865219">
        <w:rPr>
          <w:b/>
          <w:bCs/>
          <w:lang w:val="en-US"/>
        </w:rPr>
        <w:instrText xml:space="preserve"> MERGEFIELD  ControllerName  \* MERGEFORMAT </w:instrText>
      </w:r>
      <w:r w:rsidRPr="00865219">
        <w:rPr>
          <w:b/>
          <w:bCs/>
          <w:lang w:val="en-US"/>
        </w:rPr>
        <w:fldChar w:fldCharType="separate"/>
      </w:r>
      <w:r w:rsidR="002662E7">
        <w:rPr>
          <w:b/>
          <w:bCs/>
          <w:noProof/>
          <w:lang w:val="en-US"/>
        </w:rPr>
        <w:t>«ControllerName»</w:t>
      </w:r>
      <w:r w:rsidRPr="00865219">
        <w:rPr>
          <w:b/>
          <w:bCs/>
          <w:lang w:val="en-US"/>
        </w:rPr>
        <w:fldChar w:fldCharType="end"/>
      </w:r>
      <w:r>
        <w:rPr>
          <w:lang w:val="en-US"/>
        </w:rPr>
        <w:t xml:space="preserve">, a company incorporated under the laws of </w:t>
      </w:r>
      <w:r>
        <w:rPr>
          <w:lang w:val="en-US"/>
        </w:rPr>
        <w:fldChar w:fldCharType="begin"/>
      </w:r>
      <w:r>
        <w:rPr>
          <w:lang w:val="en-US"/>
        </w:rPr>
        <w:instrText xml:space="preserve"> MERGEFIELD  ControllerIncorpJurisdiction  \* MERGEFORMAT </w:instrText>
      </w:r>
      <w:r>
        <w:rPr>
          <w:lang w:val="en-US"/>
        </w:rPr>
        <w:fldChar w:fldCharType="separate"/>
      </w:r>
      <w:r w:rsidR="002662E7">
        <w:rPr>
          <w:noProof/>
          <w:lang w:val="en-US"/>
        </w:rPr>
        <w:t>«ControllerIncorpJurisdiction»</w:t>
      </w:r>
      <w:r>
        <w:rPr>
          <w:lang w:val="en-US"/>
        </w:rPr>
        <w:fldChar w:fldCharType="end"/>
      </w:r>
      <w:r>
        <w:rPr>
          <w:lang w:val="en-US"/>
        </w:rPr>
        <w:t xml:space="preserve">, with registration number </w:t>
      </w:r>
      <w:r w:rsidR="00F03965">
        <w:rPr>
          <w:lang w:val="en-US"/>
        </w:rPr>
        <w:fldChar w:fldCharType="begin"/>
      </w:r>
      <w:r w:rsidR="00F03965">
        <w:rPr>
          <w:lang w:val="en-US"/>
        </w:rPr>
        <w:instrText xml:space="preserve"> MERGEFIELD  ControllerRegNo  \* MERGEFORMAT </w:instrText>
      </w:r>
      <w:r w:rsidR="00F03965">
        <w:rPr>
          <w:lang w:val="en-US"/>
        </w:rPr>
        <w:fldChar w:fldCharType="separate"/>
      </w:r>
      <w:r w:rsidR="002662E7">
        <w:rPr>
          <w:noProof/>
          <w:lang w:val="en-US"/>
        </w:rPr>
        <w:t>«ControllerRegNo»</w:t>
      </w:r>
      <w:r w:rsidR="00F03965">
        <w:rPr>
          <w:lang w:val="en-US"/>
        </w:rPr>
        <w:fldChar w:fldCharType="end"/>
      </w:r>
      <w:r>
        <w:rPr>
          <w:lang w:val="en-US"/>
        </w:rPr>
        <w:t xml:space="preserve">, whose legal address is </w:t>
      </w:r>
      <w:r>
        <w:rPr>
          <w:lang w:val="en-US"/>
        </w:rPr>
        <w:fldChar w:fldCharType="begin"/>
      </w:r>
      <w:r>
        <w:rPr>
          <w:lang w:val="en-US"/>
        </w:rPr>
        <w:instrText xml:space="preserve"> MERGEFIELD  ControllerRegAddress  \* MERGEFORMAT </w:instrText>
      </w:r>
      <w:r>
        <w:rPr>
          <w:lang w:val="en-US"/>
        </w:rPr>
        <w:fldChar w:fldCharType="separate"/>
      </w:r>
      <w:r w:rsidR="002662E7">
        <w:rPr>
          <w:noProof/>
          <w:lang w:val="en-US"/>
        </w:rPr>
        <w:t>«ControllerRegAddress»</w:t>
      </w:r>
      <w:r>
        <w:rPr>
          <w:lang w:val="en-US"/>
        </w:rPr>
        <w:fldChar w:fldCharType="end"/>
      </w:r>
      <w:r>
        <w:rPr>
          <w:lang w:val="en-US"/>
        </w:rPr>
        <w:t xml:space="preserve"> (hereinafter </w:t>
      </w:r>
      <w:r w:rsidRPr="00865219">
        <w:rPr>
          <w:b/>
          <w:bCs/>
          <w:lang w:val="en-US"/>
        </w:rPr>
        <w:t>Controller</w:t>
      </w:r>
      <w:r>
        <w:rPr>
          <w:lang w:val="en-US"/>
        </w:rPr>
        <w:t>); and</w:t>
      </w:r>
    </w:p>
    <w:p w14:paraId="35352B33" w14:textId="1F0BBFC6" w:rsidR="000D0731" w:rsidRDefault="000D0731" w:rsidP="000D0731">
      <w:pPr>
        <w:pStyle w:val="a0"/>
        <w:numPr>
          <w:ilvl w:val="0"/>
          <w:numId w:val="2"/>
        </w:numPr>
        <w:ind w:left="567" w:hanging="567"/>
        <w:contextualSpacing w:val="0"/>
        <w:rPr>
          <w:lang w:val="en-US"/>
        </w:rPr>
      </w:pPr>
      <w:r w:rsidRPr="00865219">
        <w:rPr>
          <w:b/>
          <w:bCs/>
          <w:lang w:val="en-US"/>
        </w:rPr>
        <w:fldChar w:fldCharType="begin"/>
      </w:r>
      <w:r w:rsidRPr="00865219">
        <w:rPr>
          <w:b/>
          <w:bCs/>
          <w:lang w:val="en-US"/>
        </w:rPr>
        <w:instrText xml:space="preserve"> MERGEFIELD  ProcessorName  \* MERGEFORMAT </w:instrText>
      </w:r>
      <w:r w:rsidRPr="00865219">
        <w:rPr>
          <w:b/>
          <w:bCs/>
          <w:lang w:val="en-US"/>
        </w:rPr>
        <w:fldChar w:fldCharType="separate"/>
      </w:r>
      <w:r w:rsidR="002662E7">
        <w:rPr>
          <w:b/>
          <w:bCs/>
          <w:noProof/>
          <w:lang w:val="en-US"/>
        </w:rPr>
        <w:t>«ProcessorName»</w:t>
      </w:r>
      <w:r w:rsidRPr="00865219">
        <w:rPr>
          <w:b/>
          <w:bCs/>
          <w:lang w:val="en-US"/>
        </w:rPr>
        <w:fldChar w:fldCharType="end"/>
      </w:r>
      <w:r>
        <w:rPr>
          <w:lang w:val="en-US"/>
        </w:rPr>
        <w:t xml:space="preserve">, a company incorporated under the laws of </w:t>
      </w:r>
      <w:r>
        <w:rPr>
          <w:lang w:val="en-US"/>
        </w:rPr>
        <w:fldChar w:fldCharType="begin"/>
      </w:r>
      <w:r>
        <w:rPr>
          <w:lang w:val="en-US"/>
        </w:rPr>
        <w:instrText xml:space="preserve"> MERGEFIELD  ProcessorIncorpJurisdiction  \* MERGEFORMAT </w:instrText>
      </w:r>
      <w:r>
        <w:rPr>
          <w:lang w:val="en-US"/>
        </w:rPr>
        <w:fldChar w:fldCharType="separate"/>
      </w:r>
      <w:r w:rsidR="002662E7">
        <w:rPr>
          <w:noProof/>
          <w:lang w:val="en-US"/>
        </w:rPr>
        <w:t>«ProcessorIncorpJurisdiction»</w:t>
      </w:r>
      <w:r>
        <w:rPr>
          <w:lang w:val="en-US"/>
        </w:rPr>
        <w:fldChar w:fldCharType="end"/>
      </w:r>
      <w:r>
        <w:rPr>
          <w:lang w:val="en-US"/>
        </w:rPr>
        <w:t xml:space="preserve">, with registration number </w:t>
      </w:r>
      <w:r>
        <w:rPr>
          <w:lang w:val="en-US"/>
        </w:rPr>
        <w:fldChar w:fldCharType="begin"/>
      </w:r>
      <w:r>
        <w:rPr>
          <w:lang w:val="en-US"/>
        </w:rPr>
        <w:instrText xml:space="preserve"> MERGEFIELD  ProcessorRegNo  \* MERGEFORMAT </w:instrText>
      </w:r>
      <w:r>
        <w:rPr>
          <w:lang w:val="en-US"/>
        </w:rPr>
        <w:fldChar w:fldCharType="separate"/>
      </w:r>
      <w:r w:rsidR="002662E7">
        <w:rPr>
          <w:noProof/>
          <w:lang w:val="en-US"/>
        </w:rPr>
        <w:t>«ProcessorRegNo»</w:t>
      </w:r>
      <w:r>
        <w:rPr>
          <w:lang w:val="en-US"/>
        </w:rPr>
        <w:fldChar w:fldCharType="end"/>
      </w:r>
      <w:r>
        <w:rPr>
          <w:lang w:val="en-US"/>
        </w:rPr>
        <w:t xml:space="preserve">, whose legal address is </w:t>
      </w:r>
      <w:r>
        <w:rPr>
          <w:lang w:val="en-US"/>
        </w:rPr>
        <w:fldChar w:fldCharType="begin"/>
      </w:r>
      <w:r>
        <w:rPr>
          <w:lang w:val="en-US"/>
        </w:rPr>
        <w:instrText xml:space="preserve"> MERGEFIELD  ProcessorRegAddress  \* MERGEFORMAT </w:instrText>
      </w:r>
      <w:r>
        <w:rPr>
          <w:lang w:val="en-US"/>
        </w:rPr>
        <w:fldChar w:fldCharType="separate"/>
      </w:r>
      <w:r w:rsidR="002662E7">
        <w:rPr>
          <w:noProof/>
          <w:lang w:val="en-US"/>
        </w:rPr>
        <w:t>«ProcessorRegAddress»</w:t>
      </w:r>
      <w:r>
        <w:rPr>
          <w:lang w:val="en-US"/>
        </w:rPr>
        <w:fldChar w:fldCharType="end"/>
      </w:r>
      <w:r>
        <w:rPr>
          <w:lang w:val="en-US"/>
        </w:rPr>
        <w:t xml:space="preserve"> (hereinafter </w:t>
      </w:r>
      <w:r w:rsidRPr="00865219">
        <w:rPr>
          <w:b/>
          <w:bCs/>
          <w:lang w:val="en-US"/>
        </w:rPr>
        <w:t>Processor</w:t>
      </w:r>
      <w:r>
        <w:rPr>
          <w:lang w:val="en-US"/>
        </w:rPr>
        <w:t>)</w:t>
      </w:r>
    </w:p>
    <w:p w14:paraId="53C71340" w14:textId="77777777" w:rsidR="000D0731" w:rsidRDefault="000D0731" w:rsidP="000D0731">
      <w:pPr>
        <w:rPr>
          <w:lang w:val="en-US"/>
        </w:rPr>
      </w:pPr>
      <w:r>
        <w:rPr>
          <w:lang w:val="en-US"/>
        </w:rPr>
        <w:t xml:space="preserve">hereinafter referred to jointly as the </w:t>
      </w:r>
      <w:r w:rsidRPr="00865219">
        <w:rPr>
          <w:b/>
          <w:bCs/>
          <w:lang w:val="en-US"/>
        </w:rPr>
        <w:t>Parties</w:t>
      </w:r>
      <w:r>
        <w:rPr>
          <w:lang w:val="en-US"/>
        </w:rPr>
        <w:t xml:space="preserve"> and separately as the </w:t>
      </w:r>
      <w:r w:rsidRPr="00865219">
        <w:rPr>
          <w:b/>
          <w:bCs/>
          <w:lang w:val="en-US"/>
        </w:rPr>
        <w:t>Party</w:t>
      </w:r>
      <w:r>
        <w:rPr>
          <w:lang w:val="en-US"/>
        </w:rPr>
        <w:t>.</w:t>
      </w:r>
    </w:p>
    <w:p w14:paraId="173A6248" w14:textId="77777777" w:rsidR="000D0731" w:rsidRDefault="000D0731" w:rsidP="000D0731">
      <w:pPr>
        <w:pStyle w:val="1"/>
        <w:rPr>
          <w:lang w:val="en-US"/>
        </w:rPr>
      </w:pPr>
      <w:r>
        <w:rPr>
          <w:lang w:val="en-US"/>
        </w:rPr>
        <w:t>Recitals</w:t>
      </w:r>
    </w:p>
    <w:p w14:paraId="35D92A71" w14:textId="77777777" w:rsidR="000D0731" w:rsidRDefault="000D0731" w:rsidP="000D0731">
      <w:pPr>
        <w:pStyle w:val="2"/>
        <w:rPr>
          <w:b w:val="0"/>
          <w:bCs/>
          <w:i w:val="0"/>
          <w:iCs/>
          <w:lang w:val="en-US"/>
        </w:rPr>
      </w:pPr>
      <w:bookmarkStart w:id="0" w:name="_Ref45899415"/>
      <w:r w:rsidRPr="00865219">
        <w:rPr>
          <w:b w:val="0"/>
          <w:bCs/>
          <w:i w:val="0"/>
          <w:iCs/>
          <w:lang w:val="en-US"/>
        </w:rPr>
        <w:t>WHEREAS</w:t>
      </w:r>
      <w:r>
        <w:rPr>
          <w:b w:val="0"/>
          <w:bCs/>
          <w:i w:val="0"/>
          <w:iCs/>
          <w:lang w:val="en-US"/>
        </w:rPr>
        <w:t xml:space="preserve"> Controller and Processor are engaged in contractual relationship(s) which provide for certain transfer of personal data subject to the provisions of </w:t>
      </w:r>
      <w:r w:rsidRPr="00865219">
        <w:rPr>
          <w:b w:val="0"/>
          <w:bCs/>
          <w:i w:val="0"/>
          <w:iCs/>
          <w:lang w:val="en-US"/>
        </w:rPr>
        <w:t>Regulation (EU) 2016/679 of the European Parliament and of the Council of 27 April 2016 on the protection of natural persons with regard to the processing of personal data and on the free movement of such data, and repealing Directive 95/46/EC</w:t>
      </w:r>
      <w:r>
        <w:rPr>
          <w:b w:val="0"/>
          <w:bCs/>
          <w:i w:val="0"/>
          <w:iCs/>
          <w:lang w:val="en-US"/>
        </w:rPr>
        <w:t xml:space="preserve"> (</w:t>
      </w:r>
      <w:r w:rsidRPr="00865219">
        <w:rPr>
          <w:i w:val="0"/>
          <w:iCs/>
          <w:lang w:val="en-US"/>
        </w:rPr>
        <w:t>GDPR</w:t>
      </w:r>
      <w:r>
        <w:rPr>
          <w:b w:val="0"/>
          <w:bCs/>
          <w:i w:val="0"/>
          <w:iCs/>
          <w:lang w:val="en-US"/>
        </w:rPr>
        <w:t>).</w:t>
      </w:r>
      <w:bookmarkEnd w:id="0"/>
    </w:p>
    <w:p w14:paraId="673DF30F" w14:textId="539CE182" w:rsidR="000D0731" w:rsidRDefault="000D0731" w:rsidP="000D0731">
      <w:pPr>
        <w:pStyle w:val="2"/>
        <w:rPr>
          <w:b w:val="0"/>
          <w:bCs/>
          <w:i w:val="0"/>
          <w:iCs/>
          <w:lang w:val="en-US"/>
        </w:rPr>
      </w:pPr>
      <w:bookmarkStart w:id="1" w:name="_Ref45905266"/>
      <w:r>
        <w:rPr>
          <w:b w:val="0"/>
          <w:bCs/>
          <w:i w:val="0"/>
          <w:iCs/>
          <w:lang w:val="en-US"/>
        </w:rPr>
        <w:t xml:space="preserve">WHEREAS Controller and Processor previously concluded several agreements listed in Annex 1 to this Amendment covering the transfer of personal data mentioned in Section </w:t>
      </w:r>
      <w:r>
        <w:rPr>
          <w:b w:val="0"/>
          <w:bCs/>
          <w:i w:val="0"/>
          <w:iCs/>
          <w:lang w:val="en-US"/>
        </w:rPr>
        <w:fldChar w:fldCharType="begin"/>
      </w:r>
      <w:r>
        <w:rPr>
          <w:b w:val="0"/>
          <w:bCs/>
          <w:i w:val="0"/>
          <w:iCs/>
          <w:lang w:val="en-US"/>
        </w:rPr>
        <w:instrText xml:space="preserve"> REF _Ref45899415 \r \h </w:instrText>
      </w:r>
      <w:r>
        <w:rPr>
          <w:b w:val="0"/>
          <w:bCs/>
          <w:i w:val="0"/>
          <w:iCs/>
          <w:lang w:val="en-US"/>
        </w:rPr>
      </w:r>
      <w:r>
        <w:rPr>
          <w:b w:val="0"/>
          <w:bCs/>
          <w:i w:val="0"/>
          <w:iCs/>
          <w:lang w:val="en-US"/>
        </w:rPr>
        <w:fldChar w:fldCharType="separate"/>
      </w:r>
      <w:r w:rsidR="002662E7">
        <w:rPr>
          <w:b w:val="0"/>
          <w:bCs/>
          <w:i w:val="0"/>
          <w:iCs/>
          <w:lang w:val="en-US"/>
        </w:rPr>
        <w:t>1.1</w:t>
      </w:r>
      <w:r>
        <w:rPr>
          <w:b w:val="0"/>
          <w:bCs/>
          <w:i w:val="0"/>
          <w:iCs/>
          <w:lang w:val="en-US"/>
        </w:rPr>
        <w:fldChar w:fldCharType="end"/>
      </w:r>
      <w:r>
        <w:rPr>
          <w:b w:val="0"/>
          <w:bCs/>
          <w:i w:val="0"/>
          <w:iCs/>
          <w:lang w:val="en-US"/>
        </w:rPr>
        <w:t xml:space="preserve"> above</w:t>
      </w:r>
      <w:r w:rsidR="00277F32">
        <w:rPr>
          <w:b w:val="0"/>
          <w:bCs/>
          <w:i w:val="0"/>
          <w:iCs/>
          <w:lang w:val="en-US"/>
        </w:rPr>
        <w:t xml:space="preserve"> (the </w:t>
      </w:r>
      <w:r w:rsidR="0016480E" w:rsidRPr="0016480E">
        <w:rPr>
          <w:b w:val="0"/>
          <w:bCs/>
          <w:i w:val="0"/>
          <w:iCs/>
          <w:lang w:val="en-US"/>
        </w:rPr>
        <w:t xml:space="preserve">hereinafter referred to jointly as the </w:t>
      </w:r>
      <w:r w:rsidR="0016480E" w:rsidRPr="00277F32">
        <w:rPr>
          <w:i w:val="0"/>
          <w:iCs/>
          <w:lang w:val="en-US"/>
        </w:rPr>
        <w:t>Underlying Agreements</w:t>
      </w:r>
      <w:r w:rsidR="0016480E" w:rsidRPr="0016480E">
        <w:rPr>
          <w:b w:val="0"/>
          <w:bCs/>
          <w:i w:val="0"/>
          <w:iCs/>
          <w:lang w:val="en-US"/>
        </w:rPr>
        <w:t xml:space="preserve"> and separately as the </w:t>
      </w:r>
      <w:r w:rsidR="0016480E" w:rsidRPr="00277F32">
        <w:rPr>
          <w:i w:val="0"/>
          <w:iCs/>
          <w:lang w:val="en-US"/>
        </w:rPr>
        <w:t>Underlying Agreement</w:t>
      </w:r>
      <w:r w:rsidR="00277F32">
        <w:rPr>
          <w:b w:val="0"/>
          <w:bCs/>
          <w:i w:val="0"/>
          <w:iCs/>
          <w:lang w:val="en-US"/>
        </w:rPr>
        <w:t>)</w:t>
      </w:r>
      <w:r>
        <w:rPr>
          <w:b w:val="0"/>
          <w:bCs/>
          <w:i w:val="0"/>
          <w:iCs/>
          <w:lang w:val="en-US"/>
        </w:rPr>
        <w:t>.</w:t>
      </w:r>
      <w:bookmarkEnd w:id="1"/>
    </w:p>
    <w:p w14:paraId="13DE9E5F" w14:textId="20311E21" w:rsidR="00277F32" w:rsidRPr="00277F32" w:rsidRDefault="000D0731" w:rsidP="00277F32">
      <w:pPr>
        <w:pStyle w:val="2"/>
        <w:rPr>
          <w:lang w:val="en-US"/>
        </w:rPr>
      </w:pPr>
      <w:r w:rsidRPr="00277F32">
        <w:rPr>
          <w:b w:val="0"/>
          <w:bCs/>
          <w:i w:val="0"/>
          <w:iCs/>
          <w:lang w:val="en-US"/>
        </w:rPr>
        <w:t xml:space="preserve">WHEREAS </w:t>
      </w:r>
      <w:r w:rsidR="00277F32" w:rsidRPr="00277F32">
        <w:rPr>
          <w:b w:val="0"/>
          <w:bCs/>
          <w:i w:val="0"/>
          <w:iCs/>
          <w:lang w:val="en-US"/>
        </w:rPr>
        <w:t xml:space="preserve">on 16 </w:t>
      </w:r>
      <w:r w:rsidR="00E54F35">
        <w:rPr>
          <w:b w:val="0"/>
          <w:bCs/>
          <w:i w:val="0"/>
          <w:iCs/>
          <w:lang w:val="en-US"/>
        </w:rPr>
        <w:t>July</w:t>
      </w:r>
      <w:r w:rsidR="00277F32" w:rsidRPr="00277F32">
        <w:rPr>
          <w:b w:val="0"/>
          <w:bCs/>
          <w:i w:val="0"/>
          <w:iCs/>
          <w:lang w:val="en-US"/>
        </w:rPr>
        <w:t xml:space="preserve"> 2020 (the </w:t>
      </w:r>
      <w:r w:rsidR="00277F32" w:rsidRPr="00277F32">
        <w:rPr>
          <w:i w:val="0"/>
          <w:iCs/>
          <w:lang w:val="en-US"/>
        </w:rPr>
        <w:t>Effective Date</w:t>
      </w:r>
      <w:r w:rsidR="00277F32" w:rsidRPr="00277F32">
        <w:rPr>
          <w:b w:val="0"/>
          <w:bCs/>
          <w:i w:val="0"/>
          <w:iCs/>
          <w:lang w:val="en-US"/>
        </w:rPr>
        <w:t xml:space="preserve">) the Court of Justice of the European Union </w:t>
      </w:r>
      <w:r w:rsidR="00030685">
        <w:rPr>
          <w:b w:val="0"/>
          <w:bCs/>
          <w:i w:val="0"/>
          <w:iCs/>
          <w:lang w:val="en-US"/>
        </w:rPr>
        <w:t>in</w:t>
      </w:r>
      <w:r w:rsidR="00030685" w:rsidRPr="00030685">
        <w:rPr>
          <w:b w:val="0"/>
          <w:bCs/>
          <w:i w:val="0"/>
          <w:iCs/>
          <w:lang w:val="en-US"/>
        </w:rPr>
        <w:t xml:space="preserve"> Case C‑311/18 </w:t>
      </w:r>
      <w:r w:rsidR="00277F32" w:rsidRPr="00277F32">
        <w:rPr>
          <w:b w:val="0"/>
          <w:bCs/>
          <w:i w:val="0"/>
          <w:iCs/>
          <w:lang w:val="en-US"/>
        </w:rPr>
        <w:t>invalidated</w:t>
      </w:r>
      <w:r w:rsidR="00277F32" w:rsidRPr="00277F32">
        <w:rPr>
          <w:lang w:val="en-US"/>
        </w:rPr>
        <w:t xml:space="preserve"> </w:t>
      </w:r>
      <w:r w:rsidR="00277F32" w:rsidRPr="00277F32">
        <w:rPr>
          <w:b w:val="0"/>
          <w:bCs/>
          <w:i w:val="0"/>
          <w:iCs/>
          <w:lang w:val="en-US"/>
        </w:rPr>
        <w:t>Decision 2016/1250 on the adequacy of the</w:t>
      </w:r>
      <w:r w:rsidR="00277F32">
        <w:rPr>
          <w:b w:val="0"/>
          <w:bCs/>
          <w:i w:val="0"/>
          <w:iCs/>
          <w:lang w:val="en-US"/>
        </w:rPr>
        <w:t xml:space="preserve"> </w:t>
      </w:r>
      <w:r w:rsidR="00277F32" w:rsidRPr="00277F32">
        <w:rPr>
          <w:b w:val="0"/>
          <w:bCs/>
          <w:i w:val="0"/>
          <w:iCs/>
          <w:lang w:val="en-US"/>
        </w:rPr>
        <w:t>protection provided by the EU-US Data Protection Shield</w:t>
      </w:r>
      <w:r w:rsidR="00277F32">
        <w:rPr>
          <w:b w:val="0"/>
          <w:bCs/>
          <w:i w:val="0"/>
          <w:iCs/>
          <w:lang w:val="en-US"/>
        </w:rPr>
        <w:t xml:space="preserve">. </w:t>
      </w:r>
    </w:p>
    <w:p w14:paraId="15DDE17A" w14:textId="46860FF2" w:rsidR="00277F32" w:rsidRPr="00277F32" w:rsidRDefault="00277F32" w:rsidP="00277F32">
      <w:pPr>
        <w:pStyle w:val="2"/>
        <w:rPr>
          <w:lang w:val="en-US"/>
        </w:rPr>
      </w:pPr>
      <w:r>
        <w:rPr>
          <w:b w:val="0"/>
          <w:bCs/>
          <w:i w:val="0"/>
          <w:iCs/>
          <w:lang w:val="en-US"/>
        </w:rPr>
        <w:t xml:space="preserve">WHEREAS Controller and Processor wish to enter into an agreement compliant with obligations under Articles 44-50 GDPR in order to continue their relationship(s) referred to in Section </w:t>
      </w:r>
      <w:r>
        <w:rPr>
          <w:b w:val="0"/>
          <w:bCs/>
          <w:i w:val="0"/>
          <w:iCs/>
          <w:lang w:val="en-US"/>
        </w:rPr>
        <w:fldChar w:fldCharType="begin"/>
      </w:r>
      <w:r>
        <w:rPr>
          <w:b w:val="0"/>
          <w:bCs/>
          <w:i w:val="0"/>
          <w:iCs/>
          <w:lang w:val="en-US"/>
        </w:rPr>
        <w:instrText xml:space="preserve"> REF _Ref45899415 \r \h </w:instrText>
      </w:r>
      <w:r>
        <w:rPr>
          <w:b w:val="0"/>
          <w:bCs/>
          <w:i w:val="0"/>
          <w:iCs/>
          <w:lang w:val="en-US"/>
        </w:rPr>
      </w:r>
      <w:r>
        <w:rPr>
          <w:b w:val="0"/>
          <w:bCs/>
          <w:i w:val="0"/>
          <w:iCs/>
          <w:lang w:val="en-US"/>
        </w:rPr>
        <w:fldChar w:fldCharType="separate"/>
      </w:r>
      <w:r w:rsidR="002662E7">
        <w:rPr>
          <w:b w:val="0"/>
          <w:bCs/>
          <w:i w:val="0"/>
          <w:iCs/>
          <w:lang w:val="en-US"/>
        </w:rPr>
        <w:t>1.1</w:t>
      </w:r>
      <w:r>
        <w:rPr>
          <w:b w:val="0"/>
          <w:bCs/>
          <w:i w:val="0"/>
          <w:iCs/>
          <w:lang w:val="en-US"/>
        </w:rPr>
        <w:fldChar w:fldCharType="end"/>
      </w:r>
      <w:r>
        <w:rPr>
          <w:b w:val="0"/>
          <w:bCs/>
          <w:i w:val="0"/>
          <w:iCs/>
          <w:lang w:val="en-US"/>
        </w:rPr>
        <w:t xml:space="preserve"> above</w:t>
      </w:r>
      <w:r w:rsidR="00DA0475">
        <w:rPr>
          <w:b w:val="0"/>
          <w:bCs/>
          <w:i w:val="0"/>
          <w:iCs/>
          <w:lang w:val="en-US"/>
        </w:rPr>
        <w:t xml:space="preserve"> and to ensure that </w:t>
      </w:r>
      <w:r w:rsidR="00DA0475" w:rsidRPr="00DA0475">
        <w:rPr>
          <w:b w:val="0"/>
          <w:bCs/>
          <w:i w:val="0"/>
          <w:iCs/>
          <w:lang w:val="en-US"/>
        </w:rPr>
        <w:t>data subjects whose personal data are transferred to pursuant to standard data protection clauses are afforded a level of protection essentially equivalent to that guaranteed within the European Union</w:t>
      </w:r>
      <w:r>
        <w:rPr>
          <w:b w:val="0"/>
          <w:bCs/>
          <w:i w:val="0"/>
          <w:iCs/>
          <w:lang w:val="en-US"/>
        </w:rPr>
        <w:t>.</w:t>
      </w:r>
    </w:p>
    <w:p w14:paraId="1E19CEFC" w14:textId="2B34AF6A" w:rsidR="002C07D1" w:rsidRPr="00277F32" w:rsidRDefault="00277F32" w:rsidP="00277F32">
      <w:pPr>
        <w:pStyle w:val="2"/>
        <w:rPr>
          <w:lang w:val="en-US"/>
        </w:rPr>
      </w:pPr>
      <w:r>
        <w:rPr>
          <w:b w:val="0"/>
          <w:bCs/>
          <w:i w:val="0"/>
          <w:iCs/>
          <w:lang w:val="en-US"/>
        </w:rPr>
        <w:t xml:space="preserve">NOW THEREFORE </w:t>
      </w:r>
      <w:r w:rsidRPr="00277F32">
        <w:rPr>
          <w:b w:val="0"/>
          <w:bCs/>
          <w:i w:val="0"/>
          <w:iCs/>
          <w:lang w:val="en-US"/>
        </w:rPr>
        <w:t>the Parties hereto agree as follows</w:t>
      </w:r>
      <w:r>
        <w:rPr>
          <w:b w:val="0"/>
          <w:bCs/>
          <w:i w:val="0"/>
          <w:iCs/>
          <w:lang w:val="en-US"/>
        </w:rPr>
        <w:t>.</w:t>
      </w:r>
    </w:p>
    <w:p w14:paraId="1F3A4AC7" w14:textId="770D5FED" w:rsidR="00277F32" w:rsidRDefault="00C5050E" w:rsidP="00277F32">
      <w:pPr>
        <w:pStyle w:val="1"/>
        <w:rPr>
          <w:lang w:val="en-US"/>
        </w:rPr>
      </w:pPr>
      <w:bookmarkStart w:id="2" w:name="_Ref46266090"/>
      <w:r>
        <w:rPr>
          <w:lang w:val="en-US"/>
        </w:rPr>
        <w:t>Amendments</w:t>
      </w:r>
      <w:bookmarkEnd w:id="2"/>
    </w:p>
    <w:p w14:paraId="41338269" w14:textId="696021CE" w:rsidR="00277F32" w:rsidRPr="00277F32" w:rsidRDefault="00277F32" w:rsidP="00277F32">
      <w:pPr>
        <w:pStyle w:val="2"/>
        <w:rPr>
          <w:lang w:val="en-US"/>
        </w:rPr>
      </w:pPr>
      <w:bookmarkStart w:id="3" w:name="_Ref45900770"/>
      <w:r>
        <w:rPr>
          <w:b w:val="0"/>
          <w:bCs/>
          <w:i w:val="0"/>
          <w:iCs/>
          <w:lang w:val="en-US"/>
        </w:rPr>
        <w:t>The Parties agree to amend the Underlying Agreements, including any data processing agreements or other instruments concluded in accordance with Article 28 GDPR or relevant provisions of earlier acts (as if) incorporated into Underlying Agreements</w:t>
      </w:r>
      <w:r w:rsidR="00C5050E">
        <w:rPr>
          <w:b w:val="0"/>
          <w:bCs/>
          <w:i w:val="0"/>
          <w:iCs/>
          <w:lang w:val="en-US"/>
        </w:rPr>
        <w:t>,</w:t>
      </w:r>
      <w:r>
        <w:rPr>
          <w:b w:val="0"/>
          <w:bCs/>
          <w:i w:val="0"/>
          <w:iCs/>
          <w:lang w:val="en-US"/>
        </w:rPr>
        <w:t xml:space="preserve"> as follows:</w:t>
      </w:r>
      <w:bookmarkEnd w:id="3"/>
    </w:p>
    <w:p w14:paraId="4CDC1B77" w14:textId="4E9151C3" w:rsidR="00277F32" w:rsidRDefault="00277F32" w:rsidP="00277F32">
      <w:pPr>
        <w:pStyle w:val="3"/>
        <w:rPr>
          <w:b w:val="0"/>
          <w:bCs/>
          <w:i w:val="0"/>
          <w:iCs/>
          <w:lang w:val="en-US"/>
        </w:rPr>
      </w:pPr>
      <w:r w:rsidRPr="00277F32">
        <w:rPr>
          <w:b w:val="0"/>
          <w:bCs/>
          <w:i w:val="0"/>
          <w:iCs/>
          <w:lang w:val="en-US"/>
        </w:rPr>
        <w:t xml:space="preserve">Any references </w:t>
      </w:r>
      <w:r>
        <w:rPr>
          <w:b w:val="0"/>
          <w:bCs/>
          <w:i w:val="0"/>
          <w:iCs/>
          <w:lang w:val="en-US"/>
        </w:rPr>
        <w:t>to “</w:t>
      </w:r>
      <w:r w:rsidRPr="00277F32">
        <w:rPr>
          <w:b w:val="0"/>
          <w:bCs/>
          <w:i w:val="0"/>
          <w:iCs/>
          <w:lang w:val="en-US"/>
        </w:rPr>
        <w:t>Decision 2016/1250</w:t>
      </w:r>
      <w:r>
        <w:rPr>
          <w:b w:val="0"/>
          <w:bCs/>
          <w:i w:val="0"/>
          <w:iCs/>
          <w:lang w:val="en-US"/>
        </w:rPr>
        <w:t>”, “</w:t>
      </w:r>
      <w:r w:rsidRPr="00277F32">
        <w:rPr>
          <w:b w:val="0"/>
          <w:bCs/>
          <w:i w:val="0"/>
          <w:iCs/>
          <w:lang w:val="en-US"/>
        </w:rPr>
        <w:t>EU-U.S. Privacy Shield</w:t>
      </w:r>
      <w:r>
        <w:rPr>
          <w:b w:val="0"/>
          <w:bCs/>
          <w:i w:val="0"/>
          <w:iCs/>
          <w:lang w:val="en-US"/>
        </w:rPr>
        <w:t>”</w:t>
      </w:r>
      <w:r w:rsidR="00C5050E">
        <w:rPr>
          <w:b w:val="0"/>
          <w:bCs/>
          <w:i w:val="0"/>
          <w:iCs/>
          <w:lang w:val="en-US"/>
        </w:rPr>
        <w:t xml:space="preserve"> and similar references to adequacy of protection afforded by the United States as a basis for international transfer outside of EEA are deemed excluded and the Underlying Agreements amended </w:t>
      </w:r>
      <w:r w:rsidR="00C5050E" w:rsidRPr="00C5050E">
        <w:rPr>
          <w:b w:val="0"/>
          <w:bCs/>
          <w:lang w:val="en-US"/>
        </w:rPr>
        <w:t>mutatis mutandis</w:t>
      </w:r>
      <w:r w:rsidR="00C5050E">
        <w:rPr>
          <w:b w:val="0"/>
          <w:bCs/>
          <w:i w:val="0"/>
          <w:iCs/>
          <w:lang w:val="en-US"/>
        </w:rPr>
        <w:t>.</w:t>
      </w:r>
    </w:p>
    <w:p w14:paraId="4E7B7CA4" w14:textId="70BA86BF" w:rsidR="00C5050E" w:rsidRPr="00C5050E" w:rsidRDefault="00C5050E" w:rsidP="00C5050E">
      <w:pPr>
        <w:pStyle w:val="3"/>
        <w:rPr>
          <w:b w:val="0"/>
          <w:bCs/>
          <w:i w:val="0"/>
          <w:iCs/>
          <w:lang w:val="en-US"/>
        </w:rPr>
      </w:pPr>
      <w:bookmarkStart w:id="4" w:name="_Ref45903338"/>
      <w:r>
        <w:rPr>
          <w:b w:val="0"/>
          <w:bCs/>
          <w:i w:val="0"/>
          <w:iCs/>
          <w:lang w:val="en-US"/>
        </w:rPr>
        <w:t>The Parties agree to add the following wording to each of the Underlying Agreements:</w:t>
      </w:r>
      <w:bookmarkEnd w:id="4"/>
    </w:p>
    <w:p w14:paraId="761B5738" w14:textId="5017B40E" w:rsidR="00C5050E" w:rsidRPr="00C5050E" w:rsidRDefault="00C5050E" w:rsidP="00C5050E">
      <w:pPr>
        <w:ind w:left="1416"/>
        <w:rPr>
          <w:i/>
          <w:iCs/>
          <w:lang w:val="en-US"/>
        </w:rPr>
      </w:pPr>
      <w:r w:rsidRPr="00C5050E">
        <w:rPr>
          <w:i/>
          <w:iCs/>
          <w:lang w:val="en-US"/>
        </w:rPr>
        <w:t>*Start of wording*</w:t>
      </w:r>
    </w:p>
    <w:p w14:paraId="599F8A83" w14:textId="5C2E6ABA" w:rsidR="00C5050E" w:rsidRDefault="00C5050E" w:rsidP="00C5050E">
      <w:pPr>
        <w:ind w:left="1416"/>
        <w:rPr>
          <w:lang w:val="en-US"/>
        </w:rPr>
      </w:pPr>
      <w:r>
        <w:rPr>
          <w:lang w:val="en-US"/>
        </w:rPr>
        <w:t xml:space="preserve">This agreement (contract or other form of contractual instrument) hereby incorporates by reference and gives effect to the contractual clauses annexed to the Commission Decision 2010/87/EU </w:t>
      </w:r>
      <w:r w:rsidRPr="00C5050E">
        <w:rPr>
          <w:lang w:val="en-US"/>
        </w:rPr>
        <w:t xml:space="preserve">on standard contractual clauses for the transfer of personal data to processors established in third countries under Directive 95/46/EC of the European Parliament and of </w:t>
      </w:r>
      <w:r w:rsidRPr="00C5050E">
        <w:rPr>
          <w:lang w:val="en-US"/>
        </w:rPr>
        <w:lastRenderedPageBreak/>
        <w:t>the Council</w:t>
      </w:r>
      <w:r w:rsidR="00900FD4">
        <w:rPr>
          <w:lang w:val="en-US"/>
        </w:rPr>
        <w:t xml:space="preserve"> (the </w:t>
      </w:r>
      <w:r w:rsidR="00900FD4" w:rsidRPr="00900FD4">
        <w:rPr>
          <w:b/>
          <w:bCs/>
          <w:lang w:val="en-US"/>
        </w:rPr>
        <w:t>SCC</w:t>
      </w:r>
      <w:r w:rsidR="00900FD4">
        <w:rPr>
          <w:lang w:val="en-US"/>
        </w:rPr>
        <w:t>)</w:t>
      </w:r>
      <w:r>
        <w:rPr>
          <w:lang w:val="en-US"/>
        </w:rPr>
        <w:t>.</w:t>
      </w:r>
      <w:r w:rsidR="0016480E">
        <w:rPr>
          <w:lang w:val="en-US"/>
        </w:rPr>
        <w:t xml:space="preserve"> The signing block of the SCC is omitted due to incorporation into this agreement.</w:t>
      </w:r>
    </w:p>
    <w:p w14:paraId="7E252F78" w14:textId="77CEA002" w:rsidR="00900FD4" w:rsidRDefault="00900FD4" w:rsidP="00C5050E">
      <w:pPr>
        <w:ind w:left="1416"/>
        <w:rPr>
          <w:lang w:val="en-US"/>
        </w:rPr>
      </w:pPr>
      <w:r>
        <w:rPr>
          <w:lang w:val="en-US"/>
        </w:rPr>
        <w:t>For purposes of the SCC the Controller</w:t>
      </w:r>
      <w:r w:rsidR="0016480E">
        <w:rPr>
          <w:lang w:val="en-US"/>
        </w:rPr>
        <w:t xml:space="preserve"> and Processor</w:t>
      </w:r>
      <w:r w:rsidR="00C70BA6">
        <w:rPr>
          <w:lang w:val="en-US"/>
        </w:rPr>
        <w:t>, as</w:t>
      </w:r>
      <w:r w:rsidR="0016480E">
        <w:rPr>
          <w:lang w:val="en-US"/>
        </w:rPr>
        <w:t xml:space="preserve"> such terms are</w:t>
      </w:r>
      <w:r w:rsidR="00C70BA6">
        <w:rPr>
          <w:lang w:val="en-US"/>
        </w:rPr>
        <w:t xml:space="preserve"> defined under </w:t>
      </w:r>
      <w:r w:rsidR="00C70BA6" w:rsidRPr="00C70BA6">
        <w:rPr>
          <w:lang w:val="en-US"/>
        </w:rPr>
        <w:t xml:space="preserve">EU-US Privacy Shield to SCC Amendment for Controller to Processor Transfer </w:t>
      </w:r>
      <w:r w:rsidR="003B7DAB">
        <w:rPr>
          <w:lang w:val="en-US"/>
        </w:rPr>
        <w:t>dated</w:t>
      </w:r>
      <w:r w:rsidR="00C70BA6">
        <w:rPr>
          <w:lang w:val="en-US"/>
        </w:rPr>
        <w:t xml:space="preserve"> </w:t>
      </w:r>
      <w:r w:rsidR="00C70BA6">
        <w:rPr>
          <w:lang w:val="en-US"/>
        </w:rPr>
        <w:fldChar w:fldCharType="begin"/>
      </w:r>
      <w:r w:rsidR="00C70BA6">
        <w:rPr>
          <w:lang w:val="en-US"/>
        </w:rPr>
        <w:instrText xml:space="preserve"> MERGEFIELD  AmendmentDate  \* MERGEFORMAT </w:instrText>
      </w:r>
      <w:r w:rsidR="00C70BA6">
        <w:rPr>
          <w:lang w:val="en-US"/>
        </w:rPr>
        <w:fldChar w:fldCharType="separate"/>
      </w:r>
      <w:r w:rsidR="002662E7">
        <w:rPr>
          <w:noProof/>
          <w:lang w:val="en-US"/>
        </w:rPr>
        <w:t>«AmendmentDate»</w:t>
      </w:r>
      <w:r w:rsidR="00C70BA6">
        <w:rPr>
          <w:lang w:val="en-US"/>
        </w:rPr>
        <w:fldChar w:fldCharType="end"/>
      </w:r>
      <w:r w:rsidR="00C70BA6">
        <w:rPr>
          <w:lang w:val="en-US"/>
        </w:rPr>
        <w:t xml:space="preserve"> (hereinafter – </w:t>
      </w:r>
      <w:r w:rsidR="00C70BA6" w:rsidRPr="00C70BA6">
        <w:rPr>
          <w:b/>
          <w:bCs/>
          <w:lang w:val="en-US"/>
        </w:rPr>
        <w:t>SCC Amendment</w:t>
      </w:r>
      <w:r w:rsidR="00C70BA6">
        <w:rPr>
          <w:lang w:val="en-US"/>
        </w:rPr>
        <w:t xml:space="preserve">), </w:t>
      </w:r>
      <w:r>
        <w:rPr>
          <w:lang w:val="en-US"/>
        </w:rPr>
        <w:t xml:space="preserve">shall </w:t>
      </w:r>
      <w:r w:rsidR="00C70BA6">
        <w:rPr>
          <w:lang w:val="en-US"/>
        </w:rPr>
        <w:t>be deemed</w:t>
      </w:r>
      <w:r>
        <w:rPr>
          <w:lang w:val="en-US"/>
        </w:rPr>
        <w:t xml:space="preserve"> data exporter </w:t>
      </w:r>
      <w:r w:rsidR="0016480E">
        <w:rPr>
          <w:lang w:val="en-US"/>
        </w:rPr>
        <w:t xml:space="preserve">and </w:t>
      </w:r>
      <w:r>
        <w:rPr>
          <w:lang w:val="en-US"/>
        </w:rPr>
        <w:t>data importer</w:t>
      </w:r>
      <w:r w:rsidR="0016480E">
        <w:rPr>
          <w:lang w:val="en-US"/>
        </w:rPr>
        <w:t>, respectively</w:t>
      </w:r>
      <w:r w:rsidR="00C70BA6">
        <w:rPr>
          <w:lang w:val="en-US"/>
        </w:rPr>
        <w:t>.</w:t>
      </w:r>
      <w:r w:rsidR="0016480E" w:rsidRPr="0016480E">
        <w:rPr>
          <w:lang w:val="en-US"/>
        </w:rPr>
        <w:t xml:space="preserve"> </w:t>
      </w:r>
      <w:r w:rsidR="0016480E">
        <w:rPr>
          <w:lang w:val="en-US"/>
        </w:rPr>
        <w:t xml:space="preserve">Their identification details for purposes of SCC shall be incorporated from the party identification section of the SCC Amendment. </w:t>
      </w:r>
    </w:p>
    <w:p w14:paraId="43DC6598" w14:textId="4E45C59A" w:rsidR="0016480E" w:rsidRDefault="0016480E" w:rsidP="00C5050E">
      <w:pPr>
        <w:ind w:left="1416"/>
        <w:rPr>
          <w:lang w:val="en-US"/>
        </w:rPr>
      </w:pPr>
      <w:r>
        <w:rPr>
          <w:lang w:val="en-US"/>
        </w:rPr>
        <w:t xml:space="preserve">For purposes of Clause 9 and Clause 11(3) of the SCC, the applicable law is the law of </w:t>
      </w:r>
      <w:r>
        <w:rPr>
          <w:lang w:val="en-US"/>
        </w:rPr>
        <w:fldChar w:fldCharType="begin"/>
      </w:r>
      <w:r>
        <w:rPr>
          <w:lang w:val="en-US"/>
        </w:rPr>
        <w:instrText xml:space="preserve"> MERGEFIELD  ControllerIncorpJurisdiction  \* MERGEFORMAT </w:instrText>
      </w:r>
      <w:r>
        <w:rPr>
          <w:lang w:val="en-US"/>
        </w:rPr>
        <w:fldChar w:fldCharType="separate"/>
      </w:r>
      <w:r w:rsidR="002662E7">
        <w:rPr>
          <w:noProof/>
          <w:lang w:val="en-US"/>
        </w:rPr>
        <w:t>«ControllerIncorpJurisdiction»</w:t>
      </w:r>
      <w:r>
        <w:rPr>
          <w:lang w:val="en-US"/>
        </w:rPr>
        <w:fldChar w:fldCharType="end"/>
      </w:r>
      <w:r>
        <w:rPr>
          <w:lang w:val="en-US"/>
        </w:rPr>
        <w:t>.</w:t>
      </w:r>
    </w:p>
    <w:p w14:paraId="5310734B" w14:textId="2704A205" w:rsidR="00C5050E" w:rsidRDefault="00C5050E" w:rsidP="00C5050E">
      <w:pPr>
        <w:ind w:left="1416"/>
        <w:rPr>
          <w:i/>
          <w:iCs/>
          <w:lang w:val="en-US"/>
        </w:rPr>
      </w:pPr>
      <w:r w:rsidRPr="00C5050E">
        <w:rPr>
          <w:i/>
          <w:iCs/>
          <w:lang w:val="en-US"/>
        </w:rPr>
        <w:t xml:space="preserve">*End of wording*  </w:t>
      </w:r>
    </w:p>
    <w:p w14:paraId="60AD484E" w14:textId="3F22F0BE" w:rsidR="0016480E" w:rsidRDefault="00CD7EFB" w:rsidP="0016480E">
      <w:pPr>
        <w:pStyle w:val="3"/>
        <w:rPr>
          <w:b w:val="0"/>
          <w:bCs/>
          <w:i w:val="0"/>
          <w:iCs/>
          <w:lang w:val="en-US"/>
        </w:rPr>
      </w:pPr>
      <w:r>
        <w:rPr>
          <w:b w:val="0"/>
          <w:bCs/>
          <w:i w:val="0"/>
          <w:iCs/>
          <w:lang w:val="en-US"/>
        </w:rPr>
        <w:t>T</w:t>
      </w:r>
      <w:r w:rsidRPr="00CD7EFB">
        <w:rPr>
          <w:b w:val="0"/>
          <w:bCs/>
          <w:i w:val="0"/>
          <w:iCs/>
          <w:lang w:val="en-US"/>
        </w:rPr>
        <w:t>he descriptions of the Data exporter, Data importer, Data subjects, Categories of data</w:t>
      </w:r>
      <w:r>
        <w:rPr>
          <w:b w:val="0"/>
          <w:bCs/>
          <w:i w:val="0"/>
          <w:iCs/>
          <w:lang w:val="en-US"/>
        </w:rPr>
        <w:t>, Special categories of data, Processing operations</w:t>
      </w:r>
      <w:r w:rsidR="00977807">
        <w:rPr>
          <w:b w:val="0"/>
          <w:bCs/>
          <w:i w:val="0"/>
          <w:iCs/>
          <w:lang w:val="en-US"/>
        </w:rPr>
        <w:t xml:space="preserve"> for purposes of Appendix 1 of the SCC (as defined in Section </w:t>
      </w:r>
      <w:r w:rsidR="00977807">
        <w:rPr>
          <w:b w:val="0"/>
          <w:bCs/>
          <w:i w:val="0"/>
          <w:iCs/>
          <w:lang w:val="en-US"/>
        </w:rPr>
        <w:fldChar w:fldCharType="begin"/>
      </w:r>
      <w:r w:rsidR="00977807">
        <w:rPr>
          <w:b w:val="0"/>
          <w:bCs/>
          <w:i w:val="0"/>
          <w:iCs/>
          <w:lang w:val="en-US"/>
        </w:rPr>
        <w:instrText xml:space="preserve"> REF _Ref45903338 \r \h </w:instrText>
      </w:r>
      <w:r w:rsidR="00977807">
        <w:rPr>
          <w:b w:val="0"/>
          <w:bCs/>
          <w:i w:val="0"/>
          <w:iCs/>
          <w:lang w:val="en-US"/>
        </w:rPr>
      </w:r>
      <w:r w:rsidR="00977807">
        <w:rPr>
          <w:b w:val="0"/>
          <w:bCs/>
          <w:i w:val="0"/>
          <w:iCs/>
          <w:lang w:val="en-US"/>
        </w:rPr>
        <w:fldChar w:fldCharType="separate"/>
      </w:r>
      <w:r w:rsidR="002662E7">
        <w:rPr>
          <w:b w:val="0"/>
          <w:bCs/>
          <w:i w:val="0"/>
          <w:iCs/>
          <w:lang w:val="en-US"/>
        </w:rPr>
        <w:t>2.1.2</w:t>
      </w:r>
      <w:r w:rsidR="00977807">
        <w:rPr>
          <w:b w:val="0"/>
          <w:bCs/>
          <w:i w:val="0"/>
          <w:iCs/>
          <w:lang w:val="en-US"/>
        </w:rPr>
        <w:fldChar w:fldCharType="end"/>
      </w:r>
      <w:r w:rsidR="00977807">
        <w:rPr>
          <w:b w:val="0"/>
          <w:bCs/>
          <w:i w:val="0"/>
          <w:iCs/>
          <w:lang w:val="en-US"/>
        </w:rPr>
        <w:t xml:space="preserve"> above) are filled in as described in the Underlying Agreement that is being amended. Should the corresponding Underlying Agreement in Annex 1 to this Amendment contain an alternative description of any or all of the above fields, the corresponding description from Annex 1 shall be deemed effective.</w:t>
      </w:r>
    </w:p>
    <w:p w14:paraId="05D5EBD1" w14:textId="2384C481" w:rsidR="00CD7EFB" w:rsidRDefault="00CD7EFB" w:rsidP="00CD7EFB">
      <w:pPr>
        <w:pStyle w:val="3"/>
        <w:rPr>
          <w:b w:val="0"/>
          <w:bCs/>
          <w:i w:val="0"/>
          <w:iCs/>
          <w:lang w:val="en-US"/>
        </w:rPr>
      </w:pPr>
      <w:r w:rsidRPr="0016480E">
        <w:rPr>
          <w:b w:val="0"/>
          <w:bCs/>
          <w:i w:val="0"/>
          <w:iCs/>
          <w:lang w:val="en-US"/>
        </w:rPr>
        <w:t>Unless provided</w:t>
      </w:r>
      <w:r>
        <w:rPr>
          <w:b w:val="0"/>
          <w:bCs/>
          <w:i w:val="0"/>
          <w:iCs/>
          <w:lang w:val="en-US"/>
        </w:rPr>
        <w:t xml:space="preserve"> otherwise </w:t>
      </w:r>
      <w:r w:rsidR="00F7392C">
        <w:rPr>
          <w:b w:val="0"/>
          <w:bCs/>
          <w:i w:val="0"/>
          <w:iCs/>
          <w:lang w:val="en-US"/>
        </w:rPr>
        <w:t xml:space="preserve">with respect to the corresponding </w:t>
      </w:r>
      <w:r>
        <w:rPr>
          <w:b w:val="0"/>
          <w:bCs/>
          <w:i w:val="0"/>
          <w:iCs/>
          <w:lang w:val="en-US"/>
        </w:rPr>
        <w:t xml:space="preserve">Underlying </w:t>
      </w:r>
      <w:r w:rsidR="00F7392C">
        <w:rPr>
          <w:b w:val="0"/>
          <w:bCs/>
          <w:i w:val="0"/>
          <w:iCs/>
          <w:lang w:val="en-US"/>
        </w:rPr>
        <w:t>Agreement in Annex 1 to this Amendment</w:t>
      </w:r>
      <w:r>
        <w:rPr>
          <w:b w:val="0"/>
          <w:bCs/>
          <w:i w:val="0"/>
          <w:iCs/>
          <w:lang w:val="en-US"/>
        </w:rPr>
        <w:t xml:space="preserve">, </w:t>
      </w:r>
      <w:r w:rsidR="00F7392C">
        <w:rPr>
          <w:b w:val="0"/>
          <w:bCs/>
          <w:i w:val="0"/>
          <w:iCs/>
          <w:lang w:val="en-US"/>
        </w:rPr>
        <w:t>Appendix 2 of the SCC shall be as follows:</w:t>
      </w:r>
    </w:p>
    <w:p w14:paraId="286C63CD" w14:textId="2E094BC6" w:rsidR="00F7392C" w:rsidRPr="00F7392C" w:rsidRDefault="00F7392C" w:rsidP="00F7392C">
      <w:pPr>
        <w:ind w:left="1416"/>
        <w:rPr>
          <w:i/>
          <w:iCs/>
          <w:lang w:val="en-US"/>
        </w:rPr>
      </w:pPr>
      <w:r w:rsidRPr="00F7392C">
        <w:rPr>
          <w:i/>
          <w:iCs/>
          <w:lang w:val="en-US"/>
        </w:rPr>
        <w:t>*Start of wording*</w:t>
      </w:r>
    </w:p>
    <w:p w14:paraId="35ACC12C" w14:textId="69F04ADD" w:rsidR="00F7392C" w:rsidRDefault="007E7001" w:rsidP="00F7392C">
      <w:pPr>
        <w:ind w:left="1416"/>
        <w:rPr>
          <w:lang w:val="en-US"/>
        </w:rPr>
      </w:pPr>
      <w:r w:rsidRPr="007E7001">
        <w:rPr>
          <w:lang w:val="en-US"/>
        </w:rPr>
        <w:t xml:space="preserve">Description of the technical and </w:t>
      </w:r>
      <w:proofErr w:type="spellStart"/>
      <w:r w:rsidRPr="007E7001">
        <w:rPr>
          <w:lang w:val="en-US"/>
        </w:rPr>
        <w:t>organisational</w:t>
      </w:r>
      <w:proofErr w:type="spellEnd"/>
      <w:r w:rsidRPr="007E7001">
        <w:rPr>
          <w:lang w:val="en-US"/>
        </w:rPr>
        <w:t xml:space="preserve"> security measures implemented by the data importer in accordance with Clauses 4(d) and 5(c) (or document/legislation attached):</w:t>
      </w:r>
    </w:p>
    <w:p w14:paraId="4274E297" w14:textId="718AE521" w:rsidR="007E7001" w:rsidRDefault="00B771CB" w:rsidP="00F7392C">
      <w:pPr>
        <w:ind w:left="1416"/>
        <w:rPr>
          <w:lang w:val="en-US"/>
        </w:rPr>
      </w:pPr>
      <w:r w:rsidRPr="00B771CB">
        <w:rPr>
          <w:lang w:val="en-US"/>
        </w:rPr>
        <w:t xml:space="preserve">Taking into account the state of the art, the costs of implementation and the nature, scope, context and purposes of processing as well as the risk of varying likelihood and severity for the rights and freedoms of natural persons, the </w:t>
      </w:r>
      <w:r>
        <w:rPr>
          <w:lang w:val="en-US"/>
        </w:rPr>
        <w:t xml:space="preserve">data importer </w:t>
      </w:r>
      <w:r w:rsidRPr="00B771CB">
        <w:rPr>
          <w:lang w:val="en-US"/>
        </w:rPr>
        <w:t xml:space="preserve">shall implement appropriate technical and </w:t>
      </w:r>
      <w:proofErr w:type="spellStart"/>
      <w:r w:rsidRPr="00B771CB">
        <w:rPr>
          <w:lang w:val="en-US"/>
        </w:rPr>
        <w:t>organisational</w:t>
      </w:r>
      <w:proofErr w:type="spellEnd"/>
      <w:r w:rsidRPr="00B771CB">
        <w:rPr>
          <w:lang w:val="en-US"/>
        </w:rPr>
        <w:t xml:space="preserve"> measures to ensure a level of security appropriate to the risk</w:t>
      </w:r>
      <w:r w:rsidR="006B1D9B">
        <w:rPr>
          <w:lang w:val="en-US"/>
        </w:rPr>
        <w:t>.</w:t>
      </w:r>
    </w:p>
    <w:p w14:paraId="0287A1CD" w14:textId="18C5258A" w:rsidR="00F7392C" w:rsidRPr="00F7392C" w:rsidRDefault="00F7392C" w:rsidP="00F7392C">
      <w:pPr>
        <w:ind w:left="1416"/>
        <w:rPr>
          <w:i/>
          <w:iCs/>
          <w:lang w:val="en-US"/>
        </w:rPr>
      </w:pPr>
      <w:r w:rsidRPr="00F7392C">
        <w:rPr>
          <w:i/>
          <w:iCs/>
          <w:lang w:val="en-US"/>
        </w:rPr>
        <w:t>*End of wording*</w:t>
      </w:r>
    </w:p>
    <w:p w14:paraId="79722A8C" w14:textId="094026DB" w:rsidR="00C5050E" w:rsidRPr="00A253F9" w:rsidRDefault="00C5050E" w:rsidP="00C5050E">
      <w:pPr>
        <w:pStyle w:val="2"/>
        <w:rPr>
          <w:lang w:val="en-US"/>
        </w:rPr>
      </w:pPr>
      <w:r>
        <w:rPr>
          <w:b w:val="0"/>
          <w:bCs/>
          <w:i w:val="0"/>
          <w:iCs/>
          <w:lang w:val="en-US"/>
        </w:rPr>
        <w:t xml:space="preserve">The amendments provided under Section </w:t>
      </w:r>
      <w:r>
        <w:rPr>
          <w:b w:val="0"/>
          <w:bCs/>
          <w:i w:val="0"/>
          <w:iCs/>
          <w:lang w:val="en-US"/>
        </w:rPr>
        <w:fldChar w:fldCharType="begin"/>
      </w:r>
      <w:r>
        <w:rPr>
          <w:b w:val="0"/>
          <w:bCs/>
          <w:i w:val="0"/>
          <w:iCs/>
          <w:lang w:val="en-US"/>
        </w:rPr>
        <w:instrText xml:space="preserve"> REF _Ref45900770 \r \h </w:instrText>
      </w:r>
      <w:r>
        <w:rPr>
          <w:b w:val="0"/>
          <w:bCs/>
          <w:i w:val="0"/>
          <w:iCs/>
          <w:lang w:val="en-US"/>
        </w:rPr>
      </w:r>
      <w:r>
        <w:rPr>
          <w:b w:val="0"/>
          <w:bCs/>
          <w:i w:val="0"/>
          <w:iCs/>
          <w:lang w:val="en-US"/>
        </w:rPr>
        <w:fldChar w:fldCharType="separate"/>
      </w:r>
      <w:r w:rsidR="002662E7">
        <w:rPr>
          <w:b w:val="0"/>
          <w:bCs/>
          <w:i w:val="0"/>
          <w:iCs/>
          <w:lang w:val="en-US"/>
        </w:rPr>
        <w:t>2.1</w:t>
      </w:r>
      <w:r>
        <w:rPr>
          <w:b w:val="0"/>
          <w:bCs/>
          <w:i w:val="0"/>
          <w:iCs/>
          <w:lang w:val="en-US"/>
        </w:rPr>
        <w:fldChar w:fldCharType="end"/>
      </w:r>
      <w:r>
        <w:rPr>
          <w:b w:val="0"/>
          <w:bCs/>
          <w:i w:val="0"/>
          <w:iCs/>
          <w:lang w:val="en-US"/>
        </w:rPr>
        <w:t xml:space="preserve"> above (including its subsections) become effective </w:t>
      </w:r>
      <w:r w:rsidR="00EB6E65">
        <w:rPr>
          <w:b w:val="0"/>
          <w:bCs/>
          <w:i w:val="0"/>
          <w:iCs/>
          <w:lang w:val="en-US"/>
        </w:rPr>
        <w:t>as of</w:t>
      </w:r>
      <w:r>
        <w:rPr>
          <w:b w:val="0"/>
          <w:bCs/>
          <w:i w:val="0"/>
          <w:iCs/>
          <w:lang w:val="en-US"/>
        </w:rPr>
        <w:t xml:space="preserve"> the Effective Date.</w:t>
      </w:r>
    </w:p>
    <w:p w14:paraId="2B24900E" w14:textId="5461289A" w:rsidR="00A253F9" w:rsidRDefault="00A253F9" w:rsidP="00A253F9">
      <w:pPr>
        <w:pStyle w:val="1"/>
        <w:rPr>
          <w:lang w:val="en-US"/>
        </w:rPr>
      </w:pPr>
      <w:r>
        <w:rPr>
          <w:lang w:val="en-US"/>
        </w:rPr>
        <w:t>Equivalent Protection Assessment</w:t>
      </w:r>
      <w:r w:rsidR="00DA0475">
        <w:rPr>
          <w:lang w:val="en-US"/>
        </w:rPr>
        <w:t xml:space="preserve"> and Commitment</w:t>
      </w:r>
    </w:p>
    <w:p w14:paraId="3D9B1029" w14:textId="66CB51B8" w:rsidR="00A253F9" w:rsidRPr="00DA0475" w:rsidRDefault="00DA0475" w:rsidP="00A253F9">
      <w:pPr>
        <w:pStyle w:val="2"/>
        <w:rPr>
          <w:lang w:val="en-US"/>
        </w:rPr>
      </w:pPr>
      <w:r>
        <w:rPr>
          <w:b w:val="0"/>
          <w:bCs/>
          <w:i w:val="0"/>
          <w:iCs/>
          <w:lang w:val="en-US"/>
        </w:rPr>
        <w:t>The Parties undertake</w:t>
      </w:r>
      <w:r w:rsidR="009B159D">
        <w:rPr>
          <w:b w:val="0"/>
          <w:bCs/>
          <w:i w:val="0"/>
          <w:iCs/>
          <w:lang w:val="en-US"/>
        </w:rPr>
        <w:t xml:space="preserve"> and commit</w:t>
      </w:r>
      <w:r>
        <w:rPr>
          <w:b w:val="0"/>
          <w:bCs/>
          <w:i w:val="0"/>
          <w:iCs/>
          <w:lang w:val="en-US"/>
        </w:rPr>
        <w:t xml:space="preserve"> to implement </w:t>
      </w:r>
      <w:r w:rsidRPr="00DA0475">
        <w:rPr>
          <w:b w:val="0"/>
          <w:bCs/>
          <w:i w:val="0"/>
          <w:iCs/>
          <w:lang w:val="en-US"/>
        </w:rPr>
        <w:t xml:space="preserve"> appropriate safeguards, enforceable rights and effective legal remedies </w:t>
      </w:r>
      <w:r>
        <w:rPr>
          <w:b w:val="0"/>
          <w:bCs/>
          <w:i w:val="0"/>
          <w:iCs/>
          <w:lang w:val="en-US"/>
        </w:rPr>
        <w:t>that</w:t>
      </w:r>
      <w:r w:rsidRPr="00DA0475">
        <w:rPr>
          <w:b w:val="0"/>
          <w:bCs/>
          <w:i w:val="0"/>
          <w:iCs/>
          <w:lang w:val="en-US"/>
        </w:rPr>
        <w:t xml:space="preserve"> ensure that data subjects whose personal data are transferred pursuant to </w:t>
      </w:r>
      <w:r>
        <w:rPr>
          <w:b w:val="0"/>
          <w:bCs/>
          <w:i w:val="0"/>
          <w:iCs/>
          <w:lang w:val="en-US"/>
        </w:rPr>
        <w:t xml:space="preserve">SCC </w:t>
      </w:r>
      <w:r w:rsidRPr="00DA0475">
        <w:rPr>
          <w:b w:val="0"/>
          <w:bCs/>
          <w:i w:val="0"/>
          <w:iCs/>
          <w:lang w:val="en-US"/>
        </w:rPr>
        <w:t>are afforded a level of protection essentially equivalent to that guaranteed within the European Union</w:t>
      </w:r>
      <w:r w:rsidR="006B097C">
        <w:rPr>
          <w:b w:val="0"/>
          <w:bCs/>
          <w:i w:val="0"/>
          <w:iCs/>
          <w:lang w:val="en-US"/>
        </w:rPr>
        <w:t xml:space="preserve"> (</w:t>
      </w:r>
      <w:r w:rsidR="006B097C" w:rsidRPr="006B097C">
        <w:rPr>
          <w:i w:val="0"/>
          <w:iCs/>
          <w:lang w:val="en-US"/>
        </w:rPr>
        <w:t>Equivalent Protection</w:t>
      </w:r>
      <w:r w:rsidR="006B097C">
        <w:rPr>
          <w:b w:val="0"/>
          <w:bCs/>
          <w:i w:val="0"/>
          <w:iCs/>
          <w:lang w:val="en-US"/>
        </w:rPr>
        <w:t>)</w:t>
      </w:r>
      <w:r>
        <w:rPr>
          <w:b w:val="0"/>
          <w:bCs/>
          <w:i w:val="0"/>
          <w:iCs/>
          <w:lang w:val="en-US"/>
        </w:rPr>
        <w:t>.</w:t>
      </w:r>
    </w:p>
    <w:p w14:paraId="6F524220" w14:textId="3CC90FEC" w:rsidR="00DA0475" w:rsidRPr="009B159D" w:rsidRDefault="00D26F9F" w:rsidP="00A253F9">
      <w:pPr>
        <w:pStyle w:val="2"/>
        <w:rPr>
          <w:lang w:val="en-US"/>
        </w:rPr>
      </w:pPr>
      <w:bookmarkStart w:id="5" w:name="_Ref46146918"/>
      <w:r>
        <w:rPr>
          <w:b w:val="0"/>
          <w:bCs/>
          <w:i w:val="0"/>
          <w:iCs/>
          <w:lang w:val="en-US"/>
        </w:rPr>
        <w:t>T</w:t>
      </w:r>
      <w:r w:rsidR="00DA0475">
        <w:rPr>
          <w:b w:val="0"/>
          <w:bCs/>
          <w:i w:val="0"/>
          <w:iCs/>
          <w:lang w:val="en-US"/>
        </w:rPr>
        <w:t xml:space="preserve">he Parties </w:t>
      </w:r>
      <w:r w:rsidR="006B097C">
        <w:rPr>
          <w:b w:val="0"/>
          <w:bCs/>
          <w:i w:val="0"/>
          <w:iCs/>
          <w:lang w:val="en-US"/>
        </w:rPr>
        <w:t xml:space="preserve">hereby confirm that each Party has separately assessed Equivalent Protection afforded by this Amendment and </w:t>
      </w:r>
      <w:r>
        <w:rPr>
          <w:b w:val="0"/>
          <w:bCs/>
          <w:i w:val="0"/>
          <w:iCs/>
          <w:lang w:val="en-US"/>
        </w:rPr>
        <w:t>each</w:t>
      </w:r>
      <w:r w:rsidR="006B097C">
        <w:rPr>
          <w:b w:val="0"/>
          <w:bCs/>
          <w:i w:val="0"/>
          <w:iCs/>
          <w:lang w:val="en-US"/>
        </w:rPr>
        <w:t xml:space="preserve"> Part</w:t>
      </w:r>
      <w:r>
        <w:rPr>
          <w:b w:val="0"/>
          <w:bCs/>
          <w:i w:val="0"/>
          <w:iCs/>
          <w:lang w:val="en-US"/>
        </w:rPr>
        <w:t>y</w:t>
      </w:r>
      <w:r w:rsidR="006B097C">
        <w:rPr>
          <w:b w:val="0"/>
          <w:bCs/>
          <w:i w:val="0"/>
          <w:iCs/>
          <w:lang w:val="en-US"/>
        </w:rPr>
        <w:t xml:space="preserve"> confirm</w:t>
      </w:r>
      <w:r>
        <w:rPr>
          <w:b w:val="0"/>
          <w:bCs/>
          <w:i w:val="0"/>
          <w:iCs/>
          <w:lang w:val="en-US"/>
        </w:rPr>
        <w:t>s</w:t>
      </w:r>
      <w:r w:rsidR="006B097C">
        <w:rPr>
          <w:b w:val="0"/>
          <w:bCs/>
          <w:i w:val="0"/>
          <w:iCs/>
          <w:lang w:val="en-US"/>
        </w:rPr>
        <w:t xml:space="preserve"> its</w:t>
      </w:r>
      <w:r>
        <w:rPr>
          <w:b w:val="0"/>
          <w:bCs/>
          <w:i w:val="0"/>
          <w:iCs/>
          <w:lang w:val="en-US"/>
        </w:rPr>
        <w:t xml:space="preserve"> sufficiency</w:t>
      </w:r>
      <w:r w:rsidR="006B097C">
        <w:rPr>
          <w:b w:val="0"/>
          <w:bCs/>
          <w:i w:val="0"/>
          <w:iCs/>
          <w:lang w:val="en-US"/>
        </w:rPr>
        <w:t>. Such confirmation does not constitute a waiver of each Party’s right to reassess Equivalent Protection in case of material change of circumstances related to the corresponding Underlying Agreement</w:t>
      </w:r>
      <w:r w:rsidR="002662E7">
        <w:rPr>
          <w:b w:val="0"/>
          <w:bCs/>
          <w:i w:val="0"/>
          <w:iCs/>
          <w:lang w:val="en-US"/>
        </w:rPr>
        <w:t xml:space="preserve">, change of nature of the legal relationship between the Parties, or </w:t>
      </w:r>
      <w:r w:rsidR="006B097C">
        <w:rPr>
          <w:b w:val="0"/>
          <w:bCs/>
          <w:i w:val="0"/>
          <w:iCs/>
          <w:lang w:val="en-US"/>
        </w:rPr>
        <w:t xml:space="preserve">change of legislation and/or enforcement practice with respect to </w:t>
      </w:r>
      <w:r w:rsidR="00BA2226" w:rsidRPr="00BA2226">
        <w:rPr>
          <w:b w:val="0"/>
          <w:bCs/>
          <w:i w:val="0"/>
          <w:iCs/>
          <w:lang w:val="en-US"/>
        </w:rPr>
        <w:t xml:space="preserve">Controller’s or Processor’s applicable law as well as </w:t>
      </w:r>
      <w:r w:rsidR="006B097C">
        <w:rPr>
          <w:b w:val="0"/>
          <w:bCs/>
          <w:i w:val="0"/>
          <w:iCs/>
          <w:lang w:val="en-US"/>
        </w:rPr>
        <w:t>GDPR and,</w:t>
      </w:r>
      <w:r w:rsidR="006B097C" w:rsidRPr="006B097C">
        <w:rPr>
          <w:b w:val="0"/>
          <w:bCs/>
          <w:i w:val="0"/>
          <w:iCs/>
          <w:lang w:val="en-US"/>
        </w:rPr>
        <w:t xml:space="preserve"> </w:t>
      </w:r>
      <w:r w:rsidR="006B097C">
        <w:rPr>
          <w:b w:val="0"/>
          <w:bCs/>
          <w:i w:val="0"/>
          <w:iCs/>
          <w:lang w:val="en-US"/>
        </w:rPr>
        <w:t>in particular, appropriate safeguards for transfers outside of the EEA.</w:t>
      </w:r>
      <w:r>
        <w:rPr>
          <w:b w:val="0"/>
          <w:bCs/>
          <w:i w:val="0"/>
          <w:iCs/>
          <w:lang w:val="en-US"/>
        </w:rPr>
        <w:t xml:space="preserve"> The Parties may optionally conclude Annex 2 to this Amendment to provide additional details on their assessments and/or commitments to Equivalent Protection.</w:t>
      </w:r>
      <w:bookmarkEnd w:id="5"/>
    </w:p>
    <w:p w14:paraId="202981BD" w14:textId="2237CD70" w:rsidR="009B159D" w:rsidRPr="003D3175" w:rsidRDefault="00030685" w:rsidP="00A253F9">
      <w:pPr>
        <w:pStyle w:val="2"/>
        <w:rPr>
          <w:b w:val="0"/>
          <w:bCs/>
          <w:lang w:val="en-US"/>
        </w:rPr>
      </w:pPr>
      <w:r w:rsidRPr="00030685">
        <w:rPr>
          <w:b w:val="0"/>
          <w:bCs/>
          <w:i w:val="0"/>
          <w:iCs/>
          <w:lang w:val="en-US"/>
        </w:rPr>
        <w:t>The Parties</w:t>
      </w:r>
      <w:r>
        <w:rPr>
          <w:b w:val="0"/>
          <w:bCs/>
          <w:i w:val="0"/>
          <w:iCs/>
          <w:lang w:val="en-US"/>
        </w:rPr>
        <w:t xml:space="preserve"> recognize the risk of validity of the Equivalent Protection afforded by this Amendment due to reasons provided in paragraphs 106-121 of the Judgement of </w:t>
      </w:r>
      <w:r w:rsidRPr="00030685">
        <w:rPr>
          <w:b w:val="0"/>
          <w:bCs/>
          <w:i w:val="0"/>
          <w:iCs/>
          <w:lang w:val="en-US"/>
        </w:rPr>
        <w:t xml:space="preserve">the Court of Justice of the </w:t>
      </w:r>
      <w:r w:rsidRPr="00030685">
        <w:rPr>
          <w:b w:val="0"/>
          <w:bCs/>
          <w:i w:val="0"/>
          <w:iCs/>
          <w:lang w:val="en-US"/>
        </w:rPr>
        <w:lastRenderedPageBreak/>
        <w:t>European Union in Case C‑311/18</w:t>
      </w:r>
      <w:r>
        <w:rPr>
          <w:b w:val="0"/>
          <w:bCs/>
          <w:i w:val="0"/>
          <w:iCs/>
          <w:lang w:val="en-US"/>
        </w:rPr>
        <w:t xml:space="preserve"> that may result in suspension or prohibition of transfer of personal data to the Processor and agree to </w:t>
      </w:r>
      <w:r w:rsidRPr="00030685">
        <w:rPr>
          <w:b w:val="0"/>
          <w:bCs/>
          <w:lang w:val="en-US"/>
        </w:rPr>
        <w:t>bona fide</w:t>
      </w:r>
      <w:r>
        <w:rPr>
          <w:b w:val="0"/>
          <w:bCs/>
          <w:i w:val="0"/>
          <w:iCs/>
          <w:lang w:val="en-US"/>
        </w:rPr>
        <w:t xml:space="preserve"> cooperate to ensure both Equivalent Protection and timely and efficient remedial actions in case of suspension or prohibition of transfer (or risk thereof).</w:t>
      </w:r>
    </w:p>
    <w:p w14:paraId="51D0FBFB" w14:textId="595FB229" w:rsidR="003D3175" w:rsidRPr="00030685" w:rsidRDefault="003D3175" w:rsidP="003D3175">
      <w:pPr>
        <w:pStyle w:val="1"/>
        <w:rPr>
          <w:lang w:val="en-US"/>
        </w:rPr>
      </w:pPr>
      <w:r>
        <w:rPr>
          <w:lang w:val="en-US"/>
        </w:rPr>
        <w:t>Suspension of Data Flows</w:t>
      </w:r>
    </w:p>
    <w:p w14:paraId="4DA3E5F9" w14:textId="381CF6C9" w:rsidR="00094ABB" w:rsidRPr="00094ABB" w:rsidRDefault="00094ABB" w:rsidP="005A5AC3">
      <w:pPr>
        <w:pStyle w:val="2"/>
        <w:rPr>
          <w:b w:val="0"/>
          <w:bCs/>
          <w:i w:val="0"/>
          <w:iCs/>
          <w:lang w:val="en-US"/>
        </w:rPr>
      </w:pPr>
      <w:bookmarkStart w:id="6" w:name="_Ref46166065"/>
      <w:bookmarkStart w:id="7" w:name="_Ref46145366"/>
      <w:r>
        <w:rPr>
          <w:b w:val="0"/>
          <w:bCs/>
          <w:i w:val="0"/>
          <w:iCs/>
          <w:lang w:val="en-US"/>
        </w:rPr>
        <w:t xml:space="preserve">Both Parties acknowledge the risk that transfers of data pursuant to Underlying Agreements subjects to SCC under Section </w:t>
      </w:r>
      <w:r>
        <w:rPr>
          <w:b w:val="0"/>
          <w:bCs/>
          <w:i w:val="0"/>
          <w:iCs/>
          <w:lang w:val="en-US"/>
        </w:rPr>
        <w:fldChar w:fldCharType="begin"/>
      </w:r>
      <w:r>
        <w:rPr>
          <w:b w:val="0"/>
          <w:bCs/>
          <w:i w:val="0"/>
          <w:iCs/>
          <w:lang w:val="en-US"/>
        </w:rPr>
        <w:instrText xml:space="preserve"> REF _Ref46266090 \r \h </w:instrText>
      </w:r>
      <w:r>
        <w:rPr>
          <w:b w:val="0"/>
          <w:bCs/>
          <w:i w:val="0"/>
          <w:iCs/>
          <w:lang w:val="en-US"/>
        </w:rPr>
      </w:r>
      <w:r>
        <w:rPr>
          <w:b w:val="0"/>
          <w:bCs/>
          <w:i w:val="0"/>
          <w:iCs/>
          <w:lang w:val="en-US"/>
        </w:rPr>
        <w:fldChar w:fldCharType="separate"/>
      </w:r>
      <w:r w:rsidR="002662E7">
        <w:rPr>
          <w:b w:val="0"/>
          <w:bCs/>
          <w:i w:val="0"/>
          <w:iCs/>
          <w:lang w:val="en-US"/>
        </w:rPr>
        <w:t>2</w:t>
      </w:r>
      <w:r>
        <w:rPr>
          <w:b w:val="0"/>
          <w:bCs/>
          <w:i w:val="0"/>
          <w:iCs/>
          <w:lang w:val="en-US"/>
        </w:rPr>
        <w:fldChar w:fldCharType="end"/>
      </w:r>
      <w:r>
        <w:rPr>
          <w:b w:val="0"/>
          <w:bCs/>
          <w:i w:val="0"/>
          <w:iCs/>
          <w:lang w:val="en-US"/>
        </w:rPr>
        <w:t xml:space="preserve"> (and its subsections) may be suspended in accordance with the provisions of the GDPR, applicable privacy law, SCC and/or this Amendment. Such suspension may lead to inability to fully or partially perform mutual obligations under the main transaction(s), i.e. the contract </w:t>
      </w:r>
      <w:r w:rsidRPr="00094ABB">
        <w:rPr>
          <w:b w:val="0"/>
          <w:bCs/>
          <w:i w:val="0"/>
          <w:iCs/>
          <w:lang w:val="en-US"/>
        </w:rPr>
        <w:t xml:space="preserve">or other transaction(s) between the Parties, for the </w:t>
      </w:r>
      <w:r>
        <w:rPr>
          <w:b w:val="0"/>
          <w:bCs/>
          <w:i w:val="0"/>
          <w:iCs/>
          <w:lang w:val="en-US"/>
        </w:rPr>
        <w:t xml:space="preserve">performance </w:t>
      </w:r>
      <w:r w:rsidRPr="00094ABB">
        <w:rPr>
          <w:b w:val="0"/>
          <w:bCs/>
          <w:i w:val="0"/>
          <w:iCs/>
          <w:lang w:val="en-US"/>
        </w:rPr>
        <w:t xml:space="preserve">of which the processing of </w:t>
      </w:r>
      <w:r>
        <w:rPr>
          <w:b w:val="0"/>
          <w:bCs/>
          <w:i w:val="0"/>
          <w:iCs/>
          <w:lang w:val="en-US"/>
        </w:rPr>
        <w:t>p</w:t>
      </w:r>
      <w:r w:rsidRPr="00094ABB">
        <w:rPr>
          <w:b w:val="0"/>
          <w:bCs/>
          <w:i w:val="0"/>
          <w:iCs/>
          <w:lang w:val="en-US"/>
        </w:rPr>
        <w:t xml:space="preserve">ersonal data </w:t>
      </w:r>
      <w:r>
        <w:rPr>
          <w:b w:val="0"/>
          <w:bCs/>
          <w:i w:val="0"/>
          <w:iCs/>
          <w:lang w:val="en-US"/>
        </w:rPr>
        <w:t xml:space="preserve">was assigned by Controller to Processor (hereinafter </w:t>
      </w:r>
      <w:r w:rsidRPr="00094ABB">
        <w:rPr>
          <w:i w:val="0"/>
          <w:iCs/>
          <w:lang w:val="en-US"/>
        </w:rPr>
        <w:t>Main Transaction</w:t>
      </w:r>
      <w:r>
        <w:rPr>
          <w:b w:val="0"/>
          <w:bCs/>
          <w:i w:val="0"/>
          <w:iCs/>
          <w:lang w:val="en-US"/>
        </w:rPr>
        <w:t>).</w:t>
      </w:r>
    </w:p>
    <w:p w14:paraId="6F55B11F" w14:textId="77023D84" w:rsidR="001151CD" w:rsidRPr="005A5AC3" w:rsidRDefault="00030685" w:rsidP="005A5AC3">
      <w:pPr>
        <w:pStyle w:val="2"/>
        <w:rPr>
          <w:b w:val="0"/>
          <w:bCs/>
          <w:lang w:val="en-US"/>
        </w:rPr>
      </w:pPr>
      <w:bookmarkStart w:id="8" w:name="_Ref46266427"/>
      <w:r>
        <w:rPr>
          <w:b w:val="0"/>
          <w:bCs/>
          <w:i w:val="0"/>
          <w:iCs/>
          <w:lang w:val="en-US"/>
        </w:rPr>
        <w:t xml:space="preserve">In the event </w:t>
      </w:r>
      <w:r w:rsidR="00D26F9F">
        <w:rPr>
          <w:b w:val="0"/>
          <w:bCs/>
          <w:i w:val="0"/>
          <w:iCs/>
          <w:lang w:val="en-US"/>
        </w:rPr>
        <w:t xml:space="preserve">either of the Parties in good faith </w:t>
      </w:r>
      <w:r w:rsidR="00483646">
        <w:rPr>
          <w:b w:val="0"/>
          <w:bCs/>
          <w:i w:val="0"/>
          <w:iCs/>
          <w:lang w:val="en-US"/>
        </w:rPr>
        <w:t>believes</w:t>
      </w:r>
      <w:r w:rsidR="00D26F9F">
        <w:rPr>
          <w:b w:val="0"/>
          <w:bCs/>
          <w:i w:val="0"/>
          <w:iCs/>
          <w:lang w:val="en-US"/>
        </w:rPr>
        <w:t xml:space="preserve"> that </w:t>
      </w:r>
      <w:r w:rsidR="005A5AC3">
        <w:rPr>
          <w:b w:val="0"/>
          <w:bCs/>
          <w:i w:val="0"/>
          <w:iCs/>
          <w:lang w:val="en-US"/>
        </w:rPr>
        <w:t xml:space="preserve">there is a risk that </w:t>
      </w:r>
      <w:r w:rsidR="00D26F9F">
        <w:rPr>
          <w:b w:val="0"/>
          <w:bCs/>
          <w:i w:val="0"/>
          <w:iCs/>
          <w:lang w:val="en-US"/>
        </w:rPr>
        <w:t>this Amendment does not ensure Equivalent Protection due to material change of circumstances related to the corresponding Underlying Agreement</w:t>
      </w:r>
      <w:r w:rsidR="002662E7">
        <w:rPr>
          <w:b w:val="0"/>
          <w:bCs/>
          <w:i w:val="0"/>
          <w:iCs/>
          <w:lang w:val="en-US"/>
        </w:rPr>
        <w:t xml:space="preserve">, </w:t>
      </w:r>
      <w:r w:rsidR="00D26F9F">
        <w:rPr>
          <w:b w:val="0"/>
          <w:bCs/>
          <w:i w:val="0"/>
          <w:iCs/>
          <w:lang w:val="en-US"/>
        </w:rPr>
        <w:t>change of</w:t>
      </w:r>
      <w:r w:rsidR="002662E7">
        <w:rPr>
          <w:b w:val="0"/>
          <w:bCs/>
          <w:i w:val="0"/>
          <w:iCs/>
          <w:lang w:val="en-US"/>
        </w:rPr>
        <w:t xml:space="preserve"> nature of the legal relationship</w:t>
      </w:r>
      <w:r w:rsidR="00D26F9F">
        <w:rPr>
          <w:b w:val="0"/>
          <w:bCs/>
          <w:i w:val="0"/>
          <w:iCs/>
          <w:lang w:val="en-US"/>
        </w:rPr>
        <w:t xml:space="preserve"> </w:t>
      </w:r>
      <w:r w:rsidR="002662E7">
        <w:rPr>
          <w:b w:val="0"/>
          <w:bCs/>
          <w:i w:val="0"/>
          <w:iCs/>
          <w:lang w:val="en-US"/>
        </w:rPr>
        <w:t xml:space="preserve">between the Parties, or change of </w:t>
      </w:r>
      <w:r w:rsidR="00D26F9F">
        <w:rPr>
          <w:b w:val="0"/>
          <w:bCs/>
          <w:i w:val="0"/>
          <w:iCs/>
          <w:lang w:val="en-US"/>
        </w:rPr>
        <w:t xml:space="preserve">legislation and/or enforcement practice with respect to </w:t>
      </w:r>
      <w:r w:rsidR="00BA2226" w:rsidRPr="00BA2226">
        <w:rPr>
          <w:b w:val="0"/>
          <w:bCs/>
          <w:i w:val="0"/>
          <w:iCs/>
          <w:lang w:val="en-US"/>
        </w:rPr>
        <w:t xml:space="preserve">Controller’s or Processor’s applicable law as well as </w:t>
      </w:r>
      <w:r w:rsidR="00D26F9F">
        <w:rPr>
          <w:b w:val="0"/>
          <w:bCs/>
          <w:i w:val="0"/>
          <w:iCs/>
          <w:lang w:val="en-US"/>
        </w:rPr>
        <w:t>GDPR and,</w:t>
      </w:r>
      <w:r w:rsidR="00D26F9F" w:rsidRPr="006B097C">
        <w:rPr>
          <w:b w:val="0"/>
          <w:bCs/>
          <w:i w:val="0"/>
          <w:iCs/>
          <w:lang w:val="en-US"/>
        </w:rPr>
        <w:t xml:space="preserve"> </w:t>
      </w:r>
      <w:r w:rsidR="00D26F9F">
        <w:rPr>
          <w:b w:val="0"/>
          <w:bCs/>
          <w:i w:val="0"/>
          <w:iCs/>
          <w:lang w:val="en-US"/>
        </w:rPr>
        <w:t>in particular, appropriate safeguards for transfers outside of the EEA</w:t>
      </w:r>
      <w:r w:rsidR="00BE1E60">
        <w:rPr>
          <w:b w:val="0"/>
          <w:bCs/>
          <w:i w:val="0"/>
          <w:iCs/>
          <w:lang w:val="en-US"/>
        </w:rPr>
        <w:t>:</w:t>
      </w:r>
      <w:bookmarkEnd w:id="6"/>
      <w:bookmarkEnd w:id="8"/>
    </w:p>
    <w:p w14:paraId="7B36F05C" w14:textId="078268D0" w:rsidR="00BE1E60" w:rsidRPr="00BE1E60" w:rsidRDefault="00BE1E60" w:rsidP="00BE1E60">
      <w:pPr>
        <w:pStyle w:val="3"/>
        <w:rPr>
          <w:b w:val="0"/>
          <w:bCs/>
          <w:i w:val="0"/>
          <w:iCs/>
          <w:lang w:val="en-US"/>
        </w:rPr>
      </w:pPr>
      <w:bookmarkStart w:id="9" w:name="_Ref46148728"/>
      <w:r w:rsidRPr="00BE1E60">
        <w:rPr>
          <w:b w:val="0"/>
          <w:bCs/>
          <w:i w:val="0"/>
          <w:iCs/>
          <w:lang w:val="en-US"/>
        </w:rPr>
        <w:t xml:space="preserve">That Party </w:t>
      </w:r>
      <w:r w:rsidR="00D26F9F" w:rsidRPr="00BE1E60">
        <w:rPr>
          <w:b w:val="0"/>
          <w:bCs/>
          <w:i w:val="0"/>
          <w:iCs/>
          <w:lang w:val="en-US"/>
        </w:rPr>
        <w:t>shall contact the other Party with a reasoned proposal to amend this Amendment so that Equivalent Protection is restored</w:t>
      </w:r>
      <w:bookmarkEnd w:id="7"/>
      <w:r w:rsidRPr="00BE1E60">
        <w:rPr>
          <w:b w:val="0"/>
          <w:bCs/>
          <w:i w:val="0"/>
          <w:iCs/>
          <w:lang w:val="en-US"/>
        </w:rPr>
        <w:t>;</w:t>
      </w:r>
      <w:bookmarkEnd w:id="9"/>
    </w:p>
    <w:p w14:paraId="3ADCD3DD" w14:textId="05FDF70A" w:rsidR="003D3175" w:rsidRDefault="00BE1E60" w:rsidP="00BE1E60">
      <w:pPr>
        <w:pStyle w:val="3"/>
        <w:rPr>
          <w:b w:val="0"/>
          <w:bCs/>
          <w:i w:val="0"/>
          <w:iCs/>
          <w:lang w:val="en-US"/>
        </w:rPr>
      </w:pPr>
      <w:bookmarkStart w:id="10" w:name="_Ref46146000"/>
      <w:bookmarkStart w:id="11" w:name="_Ref46145528"/>
      <w:r w:rsidRPr="00BE1E60">
        <w:rPr>
          <w:b w:val="0"/>
          <w:bCs/>
          <w:i w:val="0"/>
          <w:iCs/>
          <w:lang w:val="en-US"/>
        </w:rPr>
        <w:t>If</w:t>
      </w:r>
      <w:r w:rsidR="00D26F9F" w:rsidRPr="00BE1E60">
        <w:rPr>
          <w:b w:val="0"/>
          <w:bCs/>
          <w:i w:val="0"/>
          <w:iCs/>
          <w:lang w:val="en-US"/>
        </w:rPr>
        <w:t xml:space="preserve"> no agreement to amend is reached within 30 calendar days from the receipt of the proposal referred to in Section </w:t>
      </w:r>
      <w:r w:rsidR="00AA1AF3">
        <w:rPr>
          <w:b w:val="0"/>
          <w:bCs/>
          <w:i w:val="0"/>
          <w:iCs/>
          <w:lang w:val="en-US"/>
        </w:rPr>
        <w:fldChar w:fldCharType="begin"/>
      </w:r>
      <w:r w:rsidR="00AA1AF3">
        <w:rPr>
          <w:b w:val="0"/>
          <w:bCs/>
          <w:i w:val="0"/>
          <w:iCs/>
          <w:lang w:val="en-US"/>
        </w:rPr>
        <w:instrText xml:space="preserve"> REF _Ref46148728 \r \h </w:instrText>
      </w:r>
      <w:r w:rsidR="00AA1AF3">
        <w:rPr>
          <w:b w:val="0"/>
          <w:bCs/>
          <w:i w:val="0"/>
          <w:iCs/>
          <w:lang w:val="en-US"/>
        </w:rPr>
      </w:r>
      <w:r w:rsidR="00AA1AF3">
        <w:rPr>
          <w:b w:val="0"/>
          <w:bCs/>
          <w:i w:val="0"/>
          <w:iCs/>
          <w:lang w:val="en-US"/>
        </w:rPr>
        <w:fldChar w:fldCharType="separate"/>
      </w:r>
      <w:r w:rsidR="002662E7">
        <w:rPr>
          <w:b w:val="0"/>
          <w:bCs/>
          <w:i w:val="0"/>
          <w:iCs/>
          <w:lang w:val="en-US"/>
        </w:rPr>
        <w:t>4.2.1</w:t>
      </w:r>
      <w:r w:rsidR="00AA1AF3">
        <w:rPr>
          <w:b w:val="0"/>
          <w:bCs/>
          <w:i w:val="0"/>
          <w:iCs/>
          <w:lang w:val="en-US"/>
        </w:rPr>
        <w:fldChar w:fldCharType="end"/>
      </w:r>
      <w:r w:rsidRPr="00BE1E60">
        <w:rPr>
          <w:b w:val="0"/>
          <w:bCs/>
          <w:i w:val="0"/>
          <w:iCs/>
          <w:lang w:val="en-US"/>
        </w:rPr>
        <w:t xml:space="preserve"> </w:t>
      </w:r>
      <w:r w:rsidR="00D26F9F" w:rsidRPr="00BE1E60">
        <w:rPr>
          <w:b w:val="0"/>
          <w:bCs/>
          <w:i w:val="0"/>
          <w:iCs/>
          <w:lang w:val="en-US"/>
        </w:rPr>
        <w:t>above, the Party that initiated such proposal may suspend the personal data transfer until an agreement is reached</w:t>
      </w:r>
      <w:r w:rsidR="003D3175">
        <w:rPr>
          <w:b w:val="0"/>
          <w:bCs/>
          <w:i w:val="0"/>
          <w:iCs/>
          <w:lang w:val="en-US"/>
        </w:rPr>
        <w:t>.</w:t>
      </w:r>
      <w:r w:rsidR="003D3175" w:rsidRPr="003D3175">
        <w:rPr>
          <w:b w:val="0"/>
          <w:bCs/>
          <w:i w:val="0"/>
          <w:iCs/>
          <w:lang w:val="en-US"/>
        </w:rPr>
        <w:t xml:space="preserve"> </w:t>
      </w:r>
      <w:r w:rsidR="003D3175" w:rsidRPr="00BE1E60">
        <w:rPr>
          <w:b w:val="0"/>
          <w:bCs/>
          <w:i w:val="0"/>
          <w:iCs/>
          <w:lang w:val="en-US"/>
        </w:rPr>
        <w:t xml:space="preserve">The suspending Party shall notify the other Party at least 5 </w:t>
      </w:r>
      <w:r w:rsidR="002662E7">
        <w:rPr>
          <w:b w:val="0"/>
          <w:bCs/>
          <w:i w:val="0"/>
          <w:iCs/>
          <w:lang w:val="en-US"/>
        </w:rPr>
        <w:t>business</w:t>
      </w:r>
      <w:r w:rsidR="003D3175" w:rsidRPr="00BE1E60">
        <w:rPr>
          <w:b w:val="0"/>
          <w:bCs/>
          <w:i w:val="0"/>
          <w:iCs/>
          <w:lang w:val="en-US"/>
        </w:rPr>
        <w:t xml:space="preserve"> days before the planned suspension</w:t>
      </w:r>
      <w:r w:rsidR="003D3175">
        <w:rPr>
          <w:b w:val="0"/>
          <w:bCs/>
          <w:i w:val="0"/>
          <w:iCs/>
          <w:lang w:val="en-US"/>
        </w:rPr>
        <w:t>;</w:t>
      </w:r>
      <w:bookmarkEnd w:id="10"/>
    </w:p>
    <w:p w14:paraId="7EF38473" w14:textId="2327F3E9" w:rsidR="003D3175" w:rsidRDefault="003D3175" w:rsidP="00BE1E60">
      <w:pPr>
        <w:pStyle w:val="3"/>
        <w:rPr>
          <w:b w:val="0"/>
          <w:bCs/>
          <w:i w:val="0"/>
          <w:iCs/>
          <w:lang w:val="en-US"/>
        </w:rPr>
      </w:pPr>
      <w:r>
        <w:rPr>
          <w:b w:val="0"/>
          <w:bCs/>
          <w:i w:val="0"/>
          <w:iCs/>
          <w:lang w:val="en-US"/>
        </w:rPr>
        <w:t xml:space="preserve">Upon suspension under Section </w:t>
      </w:r>
      <w:r>
        <w:rPr>
          <w:b w:val="0"/>
          <w:bCs/>
          <w:i w:val="0"/>
          <w:iCs/>
          <w:lang w:val="en-US"/>
        </w:rPr>
        <w:fldChar w:fldCharType="begin"/>
      </w:r>
      <w:r>
        <w:rPr>
          <w:b w:val="0"/>
          <w:bCs/>
          <w:i w:val="0"/>
          <w:iCs/>
          <w:lang w:val="en-US"/>
        </w:rPr>
        <w:instrText xml:space="preserve"> REF _Ref46146000 \r \h </w:instrText>
      </w:r>
      <w:r>
        <w:rPr>
          <w:b w:val="0"/>
          <w:bCs/>
          <w:i w:val="0"/>
          <w:iCs/>
          <w:lang w:val="en-US"/>
        </w:rPr>
      </w:r>
      <w:r>
        <w:rPr>
          <w:b w:val="0"/>
          <w:bCs/>
          <w:i w:val="0"/>
          <w:iCs/>
          <w:lang w:val="en-US"/>
        </w:rPr>
        <w:fldChar w:fldCharType="separate"/>
      </w:r>
      <w:r w:rsidR="002662E7">
        <w:rPr>
          <w:b w:val="0"/>
          <w:bCs/>
          <w:i w:val="0"/>
          <w:iCs/>
          <w:lang w:val="en-US"/>
        </w:rPr>
        <w:t>4.2.2</w:t>
      </w:r>
      <w:r>
        <w:rPr>
          <w:b w:val="0"/>
          <w:bCs/>
          <w:i w:val="0"/>
          <w:iCs/>
          <w:lang w:val="en-US"/>
        </w:rPr>
        <w:fldChar w:fldCharType="end"/>
      </w:r>
      <w:r>
        <w:rPr>
          <w:b w:val="0"/>
          <w:bCs/>
          <w:i w:val="0"/>
          <w:iCs/>
          <w:lang w:val="en-US"/>
        </w:rPr>
        <w:t xml:space="preserve"> </w:t>
      </w:r>
      <w:r w:rsidR="00BE1E60">
        <w:rPr>
          <w:b w:val="0"/>
          <w:bCs/>
          <w:i w:val="0"/>
          <w:iCs/>
          <w:lang w:val="en-US"/>
        </w:rPr>
        <w:t xml:space="preserve">Processor shall return or delete (at the Controller’s discretion) any and all copies of personal data </w:t>
      </w:r>
      <w:r w:rsidR="002711F4" w:rsidRPr="002711F4">
        <w:rPr>
          <w:b w:val="0"/>
          <w:bCs/>
          <w:i w:val="0"/>
          <w:iCs/>
          <w:lang w:val="en-US"/>
        </w:rPr>
        <w:t xml:space="preserve">related to processing assigned to Processor </w:t>
      </w:r>
      <w:r w:rsidR="00BE1E60">
        <w:rPr>
          <w:b w:val="0"/>
          <w:bCs/>
          <w:i w:val="0"/>
          <w:iCs/>
          <w:lang w:val="en-US"/>
        </w:rPr>
        <w:t>by Controller</w:t>
      </w:r>
      <w:r>
        <w:rPr>
          <w:b w:val="0"/>
          <w:bCs/>
          <w:i w:val="0"/>
          <w:iCs/>
          <w:lang w:val="en-US"/>
        </w:rPr>
        <w:t>;</w:t>
      </w:r>
      <w:r w:rsidR="00BE1E60">
        <w:rPr>
          <w:b w:val="0"/>
          <w:bCs/>
          <w:i w:val="0"/>
          <w:iCs/>
          <w:lang w:val="en-US"/>
        </w:rPr>
        <w:t xml:space="preserve"> </w:t>
      </w:r>
    </w:p>
    <w:p w14:paraId="1917F818" w14:textId="12DFE532" w:rsidR="00030685" w:rsidRPr="00BE1E60" w:rsidRDefault="003D3175" w:rsidP="00BE1E60">
      <w:pPr>
        <w:pStyle w:val="3"/>
        <w:rPr>
          <w:b w:val="0"/>
          <w:bCs/>
          <w:i w:val="0"/>
          <w:iCs/>
          <w:lang w:val="en-US"/>
        </w:rPr>
      </w:pPr>
      <w:r>
        <w:rPr>
          <w:b w:val="0"/>
          <w:bCs/>
          <w:i w:val="0"/>
          <w:iCs/>
          <w:lang w:val="en-US"/>
        </w:rPr>
        <w:t xml:space="preserve">Upon suspension under Section </w:t>
      </w:r>
      <w:r>
        <w:rPr>
          <w:b w:val="0"/>
          <w:bCs/>
          <w:i w:val="0"/>
          <w:iCs/>
          <w:lang w:val="en-US"/>
        </w:rPr>
        <w:fldChar w:fldCharType="begin"/>
      </w:r>
      <w:r>
        <w:rPr>
          <w:b w:val="0"/>
          <w:bCs/>
          <w:i w:val="0"/>
          <w:iCs/>
          <w:lang w:val="en-US"/>
        </w:rPr>
        <w:instrText xml:space="preserve"> REF _Ref46146000 \r \h </w:instrText>
      </w:r>
      <w:r>
        <w:rPr>
          <w:b w:val="0"/>
          <w:bCs/>
          <w:i w:val="0"/>
          <w:iCs/>
          <w:lang w:val="en-US"/>
        </w:rPr>
      </w:r>
      <w:r>
        <w:rPr>
          <w:b w:val="0"/>
          <w:bCs/>
          <w:i w:val="0"/>
          <w:iCs/>
          <w:lang w:val="en-US"/>
        </w:rPr>
        <w:fldChar w:fldCharType="separate"/>
      </w:r>
      <w:r w:rsidR="002662E7">
        <w:rPr>
          <w:b w:val="0"/>
          <w:bCs/>
          <w:i w:val="0"/>
          <w:iCs/>
          <w:lang w:val="en-US"/>
        </w:rPr>
        <w:t>4.2.2</w:t>
      </w:r>
      <w:r>
        <w:rPr>
          <w:b w:val="0"/>
          <w:bCs/>
          <w:i w:val="0"/>
          <w:iCs/>
          <w:lang w:val="en-US"/>
        </w:rPr>
        <w:fldChar w:fldCharType="end"/>
      </w:r>
      <w:r>
        <w:rPr>
          <w:b w:val="0"/>
          <w:bCs/>
          <w:i w:val="0"/>
          <w:iCs/>
          <w:lang w:val="en-US"/>
        </w:rPr>
        <w:t xml:space="preserve"> t</w:t>
      </w:r>
      <w:r w:rsidR="00D26F9F" w:rsidRPr="00BE1E60">
        <w:rPr>
          <w:b w:val="0"/>
          <w:bCs/>
          <w:i w:val="0"/>
          <w:iCs/>
          <w:lang w:val="en-US"/>
        </w:rPr>
        <w:t>he performance of the Underlying Agreement</w:t>
      </w:r>
      <w:r w:rsidR="002662E7">
        <w:rPr>
          <w:b w:val="0"/>
          <w:bCs/>
          <w:i w:val="0"/>
          <w:iCs/>
          <w:lang w:val="en-US"/>
        </w:rPr>
        <w:t xml:space="preserve"> and the corresponding Main Transaction</w:t>
      </w:r>
      <w:r w:rsidR="00D26F9F" w:rsidRPr="00BE1E60">
        <w:rPr>
          <w:b w:val="0"/>
          <w:bCs/>
          <w:i w:val="0"/>
          <w:iCs/>
          <w:lang w:val="en-US"/>
        </w:rPr>
        <w:t xml:space="preserve"> are suspended for the duration of the suspension of the personal data transfer pursuant to the corresponding Underlying Agreement</w:t>
      </w:r>
      <w:bookmarkEnd w:id="11"/>
      <w:r w:rsidR="00BE1E60">
        <w:rPr>
          <w:b w:val="0"/>
          <w:bCs/>
          <w:i w:val="0"/>
          <w:iCs/>
          <w:lang w:val="en-US"/>
        </w:rPr>
        <w:t>; and</w:t>
      </w:r>
    </w:p>
    <w:p w14:paraId="7B40028C" w14:textId="31C2A5E8" w:rsidR="00D26F9F" w:rsidRDefault="00BE1E60" w:rsidP="00BE1E60">
      <w:pPr>
        <w:pStyle w:val="3"/>
        <w:rPr>
          <w:b w:val="0"/>
          <w:bCs/>
          <w:i w:val="0"/>
          <w:iCs/>
          <w:lang w:val="en-US"/>
        </w:rPr>
      </w:pPr>
      <w:r w:rsidRPr="00BE1E60">
        <w:rPr>
          <w:b w:val="0"/>
          <w:bCs/>
          <w:i w:val="0"/>
          <w:iCs/>
          <w:lang w:val="en-US"/>
        </w:rPr>
        <w:t>If</w:t>
      </w:r>
      <w:r w:rsidR="00D26F9F" w:rsidRPr="00BE1E60">
        <w:rPr>
          <w:b w:val="0"/>
          <w:bCs/>
          <w:i w:val="0"/>
          <w:iCs/>
          <w:lang w:val="en-US"/>
        </w:rPr>
        <w:t xml:space="preserve"> no agreement to amend is reached within 60 calendar days from beginning of the suspension provided in Section </w:t>
      </w:r>
      <w:r w:rsidR="00D26F9F" w:rsidRPr="00BE1E60">
        <w:rPr>
          <w:b w:val="0"/>
          <w:bCs/>
          <w:i w:val="0"/>
          <w:iCs/>
          <w:lang w:val="en-US"/>
        </w:rPr>
        <w:fldChar w:fldCharType="begin"/>
      </w:r>
      <w:r w:rsidR="00D26F9F" w:rsidRPr="00BE1E60">
        <w:rPr>
          <w:b w:val="0"/>
          <w:bCs/>
          <w:i w:val="0"/>
          <w:iCs/>
          <w:lang w:val="en-US"/>
        </w:rPr>
        <w:instrText xml:space="preserve"> REF _Ref46145528 \r \h </w:instrText>
      </w:r>
      <w:r w:rsidRPr="00BE1E60">
        <w:rPr>
          <w:b w:val="0"/>
          <w:bCs/>
          <w:i w:val="0"/>
          <w:iCs/>
          <w:lang w:val="en-US"/>
        </w:rPr>
        <w:instrText xml:space="preserve"> \* MERGEFORMAT </w:instrText>
      </w:r>
      <w:r w:rsidR="00D26F9F" w:rsidRPr="00BE1E60">
        <w:rPr>
          <w:b w:val="0"/>
          <w:bCs/>
          <w:i w:val="0"/>
          <w:iCs/>
          <w:lang w:val="en-US"/>
        </w:rPr>
      </w:r>
      <w:r w:rsidR="00D26F9F" w:rsidRPr="00BE1E60">
        <w:rPr>
          <w:b w:val="0"/>
          <w:bCs/>
          <w:i w:val="0"/>
          <w:iCs/>
          <w:lang w:val="en-US"/>
        </w:rPr>
        <w:fldChar w:fldCharType="separate"/>
      </w:r>
      <w:r w:rsidR="002662E7">
        <w:rPr>
          <w:b w:val="0"/>
          <w:bCs/>
          <w:i w:val="0"/>
          <w:iCs/>
          <w:lang w:val="en-US"/>
        </w:rPr>
        <w:t>4.2.2</w:t>
      </w:r>
      <w:r w:rsidR="00D26F9F" w:rsidRPr="00BE1E60">
        <w:rPr>
          <w:b w:val="0"/>
          <w:bCs/>
          <w:i w:val="0"/>
          <w:iCs/>
          <w:lang w:val="en-US"/>
        </w:rPr>
        <w:fldChar w:fldCharType="end"/>
      </w:r>
      <w:r w:rsidR="00D26F9F" w:rsidRPr="00BE1E60">
        <w:rPr>
          <w:b w:val="0"/>
          <w:bCs/>
          <w:i w:val="0"/>
          <w:iCs/>
          <w:lang w:val="en-US"/>
        </w:rPr>
        <w:t xml:space="preserve"> above, the corresponding Underlying Agreement</w:t>
      </w:r>
      <w:r w:rsidR="0074675A">
        <w:rPr>
          <w:b w:val="0"/>
          <w:bCs/>
          <w:i w:val="0"/>
          <w:iCs/>
          <w:lang w:val="en-US"/>
        </w:rPr>
        <w:t>, corresponding Main Transaction</w:t>
      </w:r>
      <w:r w:rsidR="00D26F9F" w:rsidRPr="00BE1E60">
        <w:rPr>
          <w:b w:val="0"/>
          <w:bCs/>
          <w:i w:val="0"/>
          <w:iCs/>
          <w:lang w:val="en-US"/>
        </w:rPr>
        <w:t xml:space="preserve"> </w:t>
      </w:r>
      <w:r>
        <w:rPr>
          <w:b w:val="0"/>
          <w:bCs/>
          <w:i w:val="0"/>
          <w:iCs/>
          <w:lang w:val="en-US"/>
        </w:rPr>
        <w:t xml:space="preserve">and the transfer of personal data under it </w:t>
      </w:r>
      <w:r w:rsidR="00D26F9F" w:rsidRPr="00BE1E60">
        <w:rPr>
          <w:b w:val="0"/>
          <w:bCs/>
          <w:i w:val="0"/>
          <w:iCs/>
          <w:lang w:val="en-US"/>
        </w:rPr>
        <w:t>shall be deemed terminated.</w:t>
      </w:r>
      <w:r>
        <w:rPr>
          <w:b w:val="0"/>
          <w:bCs/>
          <w:i w:val="0"/>
          <w:iCs/>
          <w:lang w:val="en-US"/>
        </w:rPr>
        <w:t xml:space="preserve"> </w:t>
      </w:r>
    </w:p>
    <w:p w14:paraId="44D2C5A2" w14:textId="30F86CBC" w:rsidR="005A5AC3" w:rsidRPr="005A5AC3" w:rsidRDefault="005A5AC3" w:rsidP="005A5AC3">
      <w:pPr>
        <w:pStyle w:val="2"/>
        <w:rPr>
          <w:b w:val="0"/>
          <w:bCs/>
          <w:lang w:val="en-US"/>
        </w:rPr>
      </w:pPr>
      <w:r>
        <w:rPr>
          <w:b w:val="0"/>
          <w:bCs/>
          <w:i w:val="0"/>
          <w:iCs/>
          <w:lang w:val="en-US"/>
        </w:rPr>
        <w:t xml:space="preserve">The procedure provided under Section </w:t>
      </w:r>
      <w:r w:rsidR="002662E7">
        <w:rPr>
          <w:b w:val="0"/>
          <w:bCs/>
          <w:i w:val="0"/>
          <w:iCs/>
          <w:lang w:val="en-US"/>
        </w:rPr>
        <w:fldChar w:fldCharType="begin"/>
      </w:r>
      <w:r w:rsidR="002662E7">
        <w:rPr>
          <w:b w:val="0"/>
          <w:bCs/>
          <w:i w:val="0"/>
          <w:iCs/>
          <w:lang w:val="en-US"/>
        </w:rPr>
        <w:instrText xml:space="preserve"> REF _Ref46266427 \r \h </w:instrText>
      </w:r>
      <w:r w:rsidR="002662E7">
        <w:rPr>
          <w:b w:val="0"/>
          <w:bCs/>
          <w:i w:val="0"/>
          <w:iCs/>
          <w:lang w:val="en-US"/>
        </w:rPr>
      </w:r>
      <w:r w:rsidR="002662E7">
        <w:rPr>
          <w:b w:val="0"/>
          <w:bCs/>
          <w:i w:val="0"/>
          <w:iCs/>
          <w:lang w:val="en-US"/>
        </w:rPr>
        <w:fldChar w:fldCharType="separate"/>
      </w:r>
      <w:r w:rsidR="002662E7">
        <w:rPr>
          <w:b w:val="0"/>
          <w:bCs/>
          <w:i w:val="0"/>
          <w:iCs/>
          <w:lang w:val="en-US"/>
        </w:rPr>
        <w:t>4.2</w:t>
      </w:r>
      <w:r w:rsidR="002662E7">
        <w:rPr>
          <w:b w:val="0"/>
          <w:bCs/>
          <w:i w:val="0"/>
          <w:iCs/>
          <w:lang w:val="en-US"/>
        </w:rPr>
        <w:fldChar w:fldCharType="end"/>
      </w:r>
      <w:r>
        <w:rPr>
          <w:b w:val="0"/>
          <w:bCs/>
          <w:i w:val="0"/>
          <w:iCs/>
          <w:lang w:val="en-US"/>
        </w:rPr>
        <w:t xml:space="preserve"> above is without prejudice to Controller’s and Processor’s rights and obligations under Clause 4(g) and 5(b) of the SCC, namely, the Controller’s right to suspend the relevant Underlying Agreement upon receipt of Processor’s notification on the </w:t>
      </w:r>
      <w:r w:rsidR="00F15607">
        <w:rPr>
          <w:b w:val="0"/>
          <w:bCs/>
          <w:i w:val="0"/>
          <w:iCs/>
          <w:lang w:val="en-US"/>
        </w:rPr>
        <w:t xml:space="preserve">change in applicable legislation </w:t>
      </w:r>
      <w:r>
        <w:rPr>
          <w:b w:val="0"/>
          <w:bCs/>
          <w:i w:val="0"/>
          <w:iCs/>
          <w:lang w:val="en-US"/>
        </w:rPr>
        <w:t xml:space="preserve">that </w:t>
      </w:r>
      <w:r w:rsidR="00F15607">
        <w:rPr>
          <w:b w:val="0"/>
          <w:bCs/>
          <w:i w:val="0"/>
          <w:iCs/>
          <w:lang w:val="en-US"/>
        </w:rPr>
        <w:t xml:space="preserve">is likely to </w:t>
      </w:r>
      <w:r w:rsidR="00B23C4F">
        <w:rPr>
          <w:b w:val="0"/>
          <w:bCs/>
          <w:i w:val="0"/>
          <w:iCs/>
          <w:lang w:val="en-US"/>
        </w:rPr>
        <w:t>have</w:t>
      </w:r>
      <w:r>
        <w:rPr>
          <w:b w:val="0"/>
          <w:bCs/>
          <w:i w:val="0"/>
          <w:iCs/>
          <w:lang w:val="en-US"/>
        </w:rPr>
        <w:t xml:space="preserve"> a </w:t>
      </w:r>
      <w:r w:rsidRPr="005A5AC3">
        <w:rPr>
          <w:b w:val="0"/>
          <w:bCs/>
          <w:i w:val="0"/>
          <w:iCs/>
          <w:lang w:val="en-US"/>
        </w:rPr>
        <w:t xml:space="preserve">substantial adverse effect on the warranties and obligations provided by the </w:t>
      </w:r>
      <w:r>
        <w:rPr>
          <w:b w:val="0"/>
          <w:bCs/>
          <w:i w:val="0"/>
          <w:iCs/>
          <w:lang w:val="en-US"/>
        </w:rPr>
        <w:t>SCC or to continue the transfer subject to notification of its supervisory authority. For the avoidance of doubt, any communication with Controller’s supervisory authority regarding the relevant processing of personal data shall be performed solely by the Controller.</w:t>
      </w:r>
    </w:p>
    <w:p w14:paraId="517A56A8" w14:textId="6C09DFB3" w:rsidR="00BE1E60" w:rsidRPr="00D26F9F" w:rsidRDefault="00BE1E60" w:rsidP="00BE1E60">
      <w:pPr>
        <w:pStyle w:val="2"/>
        <w:rPr>
          <w:b w:val="0"/>
          <w:bCs/>
          <w:lang w:val="en-US"/>
        </w:rPr>
      </w:pPr>
      <w:bookmarkStart w:id="12" w:name="_Ref46146147"/>
      <w:r>
        <w:rPr>
          <w:b w:val="0"/>
          <w:bCs/>
          <w:i w:val="0"/>
          <w:iCs/>
          <w:lang w:val="en-US"/>
        </w:rPr>
        <w:t xml:space="preserve">In the event that the competent </w:t>
      </w:r>
      <w:r w:rsidRPr="00BE1E60">
        <w:rPr>
          <w:b w:val="0"/>
          <w:bCs/>
          <w:i w:val="0"/>
          <w:iCs/>
          <w:lang w:val="en-US"/>
        </w:rPr>
        <w:t>supervisory authority</w:t>
      </w:r>
      <w:r>
        <w:rPr>
          <w:b w:val="0"/>
          <w:bCs/>
          <w:i w:val="0"/>
          <w:iCs/>
          <w:lang w:val="en-US"/>
        </w:rPr>
        <w:t xml:space="preserve"> decides to suspend or prohibit a transfer of data to the Processor:</w:t>
      </w:r>
      <w:bookmarkEnd w:id="12"/>
    </w:p>
    <w:p w14:paraId="51AB114A" w14:textId="01B2A30E" w:rsidR="00BE1E60" w:rsidRDefault="00BE1E60" w:rsidP="00BE1E60">
      <w:pPr>
        <w:pStyle w:val="3"/>
        <w:rPr>
          <w:b w:val="0"/>
          <w:bCs/>
          <w:i w:val="0"/>
          <w:iCs/>
          <w:lang w:val="en-US"/>
        </w:rPr>
      </w:pPr>
      <w:bookmarkStart w:id="13" w:name="_Ref46146257"/>
      <w:r>
        <w:rPr>
          <w:b w:val="0"/>
          <w:bCs/>
          <w:i w:val="0"/>
          <w:iCs/>
          <w:lang w:val="en-US"/>
        </w:rPr>
        <w:lastRenderedPageBreak/>
        <w:t>the Controller shall suspend or terminate</w:t>
      </w:r>
      <w:r w:rsidR="003D3175">
        <w:rPr>
          <w:b w:val="0"/>
          <w:bCs/>
          <w:i w:val="0"/>
          <w:iCs/>
          <w:lang w:val="en-US"/>
        </w:rPr>
        <w:t xml:space="preserve"> (for purposes of subsections of Section </w:t>
      </w:r>
      <w:r w:rsidR="003D3175">
        <w:rPr>
          <w:b w:val="0"/>
          <w:bCs/>
          <w:i w:val="0"/>
          <w:iCs/>
          <w:lang w:val="en-US"/>
        </w:rPr>
        <w:fldChar w:fldCharType="begin"/>
      </w:r>
      <w:r w:rsidR="003D3175">
        <w:rPr>
          <w:b w:val="0"/>
          <w:bCs/>
          <w:i w:val="0"/>
          <w:iCs/>
          <w:lang w:val="en-US"/>
        </w:rPr>
        <w:instrText xml:space="preserve"> REF _Ref46146147 \r \h </w:instrText>
      </w:r>
      <w:r w:rsidR="003D3175">
        <w:rPr>
          <w:b w:val="0"/>
          <w:bCs/>
          <w:i w:val="0"/>
          <w:iCs/>
          <w:lang w:val="en-US"/>
        </w:rPr>
      </w:r>
      <w:r w:rsidR="003D3175">
        <w:rPr>
          <w:b w:val="0"/>
          <w:bCs/>
          <w:i w:val="0"/>
          <w:iCs/>
          <w:lang w:val="en-US"/>
        </w:rPr>
        <w:fldChar w:fldCharType="separate"/>
      </w:r>
      <w:r w:rsidR="002662E7">
        <w:rPr>
          <w:b w:val="0"/>
          <w:bCs/>
          <w:i w:val="0"/>
          <w:iCs/>
          <w:lang w:val="en-US"/>
        </w:rPr>
        <w:t>4.4</w:t>
      </w:r>
      <w:r w:rsidR="003D3175">
        <w:rPr>
          <w:b w:val="0"/>
          <w:bCs/>
          <w:i w:val="0"/>
          <w:iCs/>
          <w:lang w:val="en-US"/>
        </w:rPr>
        <w:fldChar w:fldCharType="end"/>
      </w:r>
      <w:r w:rsidR="003D3175">
        <w:rPr>
          <w:b w:val="0"/>
          <w:bCs/>
          <w:i w:val="0"/>
          <w:iCs/>
          <w:lang w:val="en-US"/>
        </w:rPr>
        <w:t xml:space="preserve"> referred to jointly as </w:t>
      </w:r>
      <w:r w:rsidR="003D3175" w:rsidRPr="003D3175">
        <w:rPr>
          <w:i w:val="0"/>
          <w:iCs/>
          <w:lang w:val="en-US"/>
        </w:rPr>
        <w:t>suspension</w:t>
      </w:r>
      <w:r w:rsidR="003D3175">
        <w:rPr>
          <w:b w:val="0"/>
          <w:bCs/>
          <w:i w:val="0"/>
          <w:iCs/>
          <w:lang w:val="en-US"/>
        </w:rPr>
        <w:t>)</w:t>
      </w:r>
      <w:r>
        <w:rPr>
          <w:b w:val="0"/>
          <w:bCs/>
          <w:i w:val="0"/>
          <w:iCs/>
          <w:lang w:val="en-US"/>
        </w:rPr>
        <w:t xml:space="preserve"> </w:t>
      </w:r>
      <w:r w:rsidR="003D3175">
        <w:rPr>
          <w:b w:val="0"/>
          <w:bCs/>
          <w:i w:val="0"/>
          <w:iCs/>
          <w:lang w:val="en-US"/>
        </w:rPr>
        <w:t xml:space="preserve">the relevant transfer of data to the Processor as provided in the decision of the competent </w:t>
      </w:r>
      <w:r w:rsidR="003D3175" w:rsidRPr="00BE1E60">
        <w:rPr>
          <w:b w:val="0"/>
          <w:bCs/>
          <w:i w:val="0"/>
          <w:iCs/>
          <w:lang w:val="en-US"/>
        </w:rPr>
        <w:t>supervisory authority</w:t>
      </w:r>
      <w:r w:rsidR="003D3175">
        <w:rPr>
          <w:b w:val="0"/>
          <w:bCs/>
          <w:i w:val="0"/>
          <w:iCs/>
          <w:lang w:val="en-US"/>
        </w:rPr>
        <w:t>;</w:t>
      </w:r>
      <w:bookmarkEnd w:id="13"/>
    </w:p>
    <w:p w14:paraId="4027AF22" w14:textId="1C164C0F" w:rsidR="00BE1E60" w:rsidRDefault="003D3175" w:rsidP="00BE1E60">
      <w:pPr>
        <w:pStyle w:val="3"/>
        <w:rPr>
          <w:b w:val="0"/>
          <w:bCs/>
          <w:i w:val="0"/>
          <w:iCs/>
          <w:lang w:val="en-US"/>
        </w:rPr>
      </w:pPr>
      <w:r>
        <w:rPr>
          <w:b w:val="0"/>
          <w:bCs/>
          <w:i w:val="0"/>
          <w:iCs/>
          <w:lang w:val="en-US"/>
        </w:rPr>
        <w:t xml:space="preserve">Controller shall without delay </w:t>
      </w:r>
      <w:r w:rsidR="00BE1E60">
        <w:rPr>
          <w:b w:val="0"/>
          <w:bCs/>
          <w:i w:val="0"/>
          <w:iCs/>
          <w:lang w:val="en-US"/>
        </w:rPr>
        <w:t xml:space="preserve">contact Processor with </w:t>
      </w:r>
      <w:r>
        <w:rPr>
          <w:b w:val="0"/>
          <w:bCs/>
          <w:i w:val="0"/>
          <w:iCs/>
          <w:lang w:val="en-US"/>
        </w:rPr>
        <w:t xml:space="preserve">a notification of suspension and </w:t>
      </w:r>
      <w:r w:rsidR="00BE1E60">
        <w:rPr>
          <w:b w:val="0"/>
          <w:bCs/>
          <w:i w:val="0"/>
          <w:iCs/>
          <w:lang w:val="en-US"/>
        </w:rPr>
        <w:t>a reasoned proposal to amend this Amendment so that Equivalent Protection is restored</w:t>
      </w:r>
      <w:r w:rsidR="005A5AC3">
        <w:rPr>
          <w:b w:val="0"/>
          <w:bCs/>
          <w:i w:val="0"/>
          <w:iCs/>
          <w:lang w:val="en-US"/>
        </w:rPr>
        <w:t>, if possible</w:t>
      </w:r>
      <w:r w:rsidR="00BE1E60">
        <w:rPr>
          <w:b w:val="0"/>
          <w:bCs/>
          <w:i w:val="0"/>
          <w:iCs/>
          <w:lang w:val="en-US"/>
        </w:rPr>
        <w:t>;</w:t>
      </w:r>
    </w:p>
    <w:p w14:paraId="1FFB4761" w14:textId="633EA23C" w:rsidR="00BE1E60" w:rsidRDefault="003D3175" w:rsidP="00BE1E60">
      <w:pPr>
        <w:pStyle w:val="3"/>
        <w:rPr>
          <w:b w:val="0"/>
          <w:bCs/>
          <w:i w:val="0"/>
          <w:iCs/>
          <w:lang w:val="en-US"/>
        </w:rPr>
      </w:pPr>
      <w:r>
        <w:rPr>
          <w:b w:val="0"/>
          <w:bCs/>
          <w:i w:val="0"/>
          <w:iCs/>
          <w:lang w:val="en-US"/>
        </w:rPr>
        <w:t xml:space="preserve">Upon suspension under Section </w:t>
      </w:r>
      <w:r>
        <w:rPr>
          <w:b w:val="0"/>
          <w:bCs/>
          <w:i w:val="0"/>
          <w:iCs/>
          <w:lang w:val="en-US"/>
        </w:rPr>
        <w:fldChar w:fldCharType="begin"/>
      </w:r>
      <w:r>
        <w:rPr>
          <w:b w:val="0"/>
          <w:bCs/>
          <w:i w:val="0"/>
          <w:iCs/>
          <w:lang w:val="en-US"/>
        </w:rPr>
        <w:instrText xml:space="preserve"> REF _Ref46146257 \r \h </w:instrText>
      </w:r>
      <w:r>
        <w:rPr>
          <w:b w:val="0"/>
          <w:bCs/>
          <w:i w:val="0"/>
          <w:iCs/>
          <w:lang w:val="en-US"/>
        </w:rPr>
      </w:r>
      <w:r>
        <w:rPr>
          <w:b w:val="0"/>
          <w:bCs/>
          <w:i w:val="0"/>
          <w:iCs/>
          <w:lang w:val="en-US"/>
        </w:rPr>
        <w:fldChar w:fldCharType="separate"/>
      </w:r>
      <w:r w:rsidR="002662E7">
        <w:rPr>
          <w:b w:val="0"/>
          <w:bCs/>
          <w:i w:val="0"/>
          <w:iCs/>
          <w:lang w:val="en-US"/>
        </w:rPr>
        <w:t>4.4.1</w:t>
      </w:r>
      <w:r>
        <w:rPr>
          <w:b w:val="0"/>
          <w:bCs/>
          <w:i w:val="0"/>
          <w:iCs/>
          <w:lang w:val="en-US"/>
        </w:rPr>
        <w:fldChar w:fldCharType="end"/>
      </w:r>
      <w:r>
        <w:rPr>
          <w:b w:val="0"/>
          <w:bCs/>
          <w:i w:val="0"/>
          <w:iCs/>
          <w:lang w:val="en-US"/>
        </w:rPr>
        <w:t xml:space="preserve"> Processor shall return or delete (at the Controller’s discretion) any and all copies of personal data </w:t>
      </w:r>
      <w:r w:rsidR="002711F4" w:rsidRPr="002711F4">
        <w:rPr>
          <w:b w:val="0"/>
          <w:bCs/>
          <w:i w:val="0"/>
          <w:iCs/>
          <w:lang w:val="en-US"/>
        </w:rPr>
        <w:t xml:space="preserve">related to processing assigned to Processor </w:t>
      </w:r>
      <w:r>
        <w:rPr>
          <w:b w:val="0"/>
          <w:bCs/>
          <w:i w:val="0"/>
          <w:iCs/>
          <w:lang w:val="en-US"/>
        </w:rPr>
        <w:t>by Controller;</w:t>
      </w:r>
    </w:p>
    <w:p w14:paraId="427823EF" w14:textId="66C79D06" w:rsidR="00142979" w:rsidRPr="00142979" w:rsidRDefault="00142979" w:rsidP="00142979">
      <w:pPr>
        <w:pStyle w:val="3"/>
        <w:rPr>
          <w:b w:val="0"/>
          <w:bCs/>
          <w:i w:val="0"/>
          <w:iCs/>
          <w:lang w:val="en-US"/>
        </w:rPr>
      </w:pPr>
      <w:r>
        <w:rPr>
          <w:b w:val="0"/>
          <w:bCs/>
          <w:i w:val="0"/>
          <w:iCs/>
          <w:lang w:val="en-US"/>
        </w:rPr>
        <w:t xml:space="preserve">Upon suspension under Section </w:t>
      </w:r>
      <w:r>
        <w:rPr>
          <w:b w:val="0"/>
          <w:bCs/>
          <w:i w:val="0"/>
          <w:iCs/>
          <w:lang w:val="en-US"/>
        </w:rPr>
        <w:fldChar w:fldCharType="begin"/>
      </w:r>
      <w:r>
        <w:rPr>
          <w:b w:val="0"/>
          <w:bCs/>
          <w:i w:val="0"/>
          <w:iCs/>
          <w:lang w:val="en-US"/>
        </w:rPr>
        <w:instrText xml:space="preserve"> REF _Ref46146257 \r \h </w:instrText>
      </w:r>
      <w:r>
        <w:rPr>
          <w:b w:val="0"/>
          <w:bCs/>
          <w:i w:val="0"/>
          <w:iCs/>
          <w:lang w:val="en-US"/>
        </w:rPr>
      </w:r>
      <w:r>
        <w:rPr>
          <w:b w:val="0"/>
          <w:bCs/>
          <w:i w:val="0"/>
          <w:iCs/>
          <w:lang w:val="en-US"/>
        </w:rPr>
        <w:fldChar w:fldCharType="separate"/>
      </w:r>
      <w:r w:rsidR="002662E7">
        <w:rPr>
          <w:b w:val="0"/>
          <w:bCs/>
          <w:i w:val="0"/>
          <w:iCs/>
          <w:lang w:val="en-US"/>
        </w:rPr>
        <w:t>4.4.1</w:t>
      </w:r>
      <w:r>
        <w:rPr>
          <w:b w:val="0"/>
          <w:bCs/>
          <w:i w:val="0"/>
          <w:iCs/>
          <w:lang w:val="en-US"/>
        </w:rPr>
        <w:fldChar w:fldCharType="end"/>
      </w:r>
      <w:r>
        <w:rPr>
          <w:b w:val="0"/>
          <w:bCs/>
          <w:i w:val="0"/>
          <w:iCs/>
          <w:lang w:val="en-US"/>
        </w:rPr>
        <w:t xml:space="preserve"> t</w:t>
      </w:r>
      <w:r w:rsidRPr="00BE1E60">
        <w:rPr>
          <w:b w:val="0"/>
          <w:bCs/>
          <w:i w:val="0"/>
          <w:iCs/>
          <w:lang w:val="en-US"/>
        </w:rPr>
        <w:t>he performance of the Underlying Agreement</w:t>
      </w:r>
      <w:r w:rsidR="002662E7">
        <w:rPr>
          <w:b w:val="0"/>
          <w:bCs/>
          <w:i w:val="0"/>
          <w:iCs/>
          <w:lang w:val="en-US"/>
        </w:rPr>
        <w:t xml:space="preserve"> and the corresponding Main Transaction</w:t>
      </w:r>
      <w:r w:rsidRPr="00BE1E60">
        <w:rPr>
          <w:b w:val="0"/>
          <w:bCs/>
          <w:i w:val="0"/>
          <w:iCs/>
          <w:lang w:val="en-US"/>
        </w:rPr>
        <w:t xml:space="preserve"> are suspended for the duration of the suspension of the personal data transfer pursuant to the corresponding Underlying Agreement</w:t>
      </w:r>
      <w:r>
        <w:rPr>
          <w:b w:val="0"/>
          <w:bCs/>
          <w:i w:val="0"/>
          <w:iCs/>
          <w:lang w:val="en-US"/>
        </w:rPr>
        <w:t>; and</w:t>
      </w:r>
    </w:p>
    <w:p w14:paraId="24765509" w14:textId="00D5BA4E" w:rsidR="005A5AC3" w:rsidRPr="005A5AC3" w:rsidRDefault="003D3175" w:rsidP="005A5AC3">
      <w:pPr>
        <w:pStyle w:val="3"/>
        <w:rPr>
          <w:b w:val="0"/>
          <w:bCs/>
          <w:i w:val="0"/>
          <w:iCs/>
          <w:lang w:val="en-US"/>
        </w:rPr>
      </w:pPr>
      <w:r w:rsidRPr="00BE1E60">
        <w:rPr>
          <w:b w:val="0"/>
          <w:bCs/>
          <w:i w:val="0"/>
          <w:iCs/>
          <w:lang w:val="en-US"/>
        </w:rPr>
        <w:t xml:space="preserve">If no agreement to amend is reached within 60 calendar days from beginning of the suspension provided in Section </w:t>
      </w:r>
      <w:r>
        <w:rPr>
          <w:b w:val="0"/>
          <w:bCs/>
          <w:i w:val="0"/>
          <w:iCs/>
          <w:lang w:val="en-US"/>
        </w:rPr>
        <w:fldChar w:fldCharType="begin"/>
      </w:r>
      <w:r>
        <w:rPr>
          <w:b w:val="0"/>
          <w:bCs/>
          <w:i w:val="0"/>
          <w:iCs/>
          <w:lang w:val="en-US"/>
        </w:rPr>
        <w:instrText xml:space="preserve"> REF _Ref46146257 \r \h </w:instrText>
      </w:r>
      <w:r>
        <w:rPr>
          <w:b w:val="0"/>
          <w:bCs/>
          <w:i w:val="0"/>
          <w:iCs/>
          <w:lang w:val="en-US"/>
        </w:rPr>
      </w:r>
      <w:r>
        <w:rPr>
          <w:b w:val="0"/>
          <w:bCs/>
          <w:i w:val="0"/>
          <w:iCs/>
          <w:lang w:val="en-US"/>
        </w:rPr>
        <w:fldChar w:fldCharType="separate"/>
      </w:r>
      <w:r w:rsidR="002662E7">
        <w:rPr>
          <w:b w:val="0"/>
          <w:bCs/>
          <w:i w:val="0"/>
          <w:iCs/>
          <w:lang w:val="en-US"/>
        </w:rPr>
        <w:t>4.4.1</w:t>
      </w:r>
      <w:r>
        <w:rPr>
          <w:b w:val="0"/>
          <w:bCs/>
          <w:i w:val="0"/>
          <w:iCs/>
          <w:lang w:val="en-US"/>
        </w:rPr>
        <w:fldChar w:fldCharType="end"/>
      </w:r>
      <w:r w:rsidRPr="00BE1E60">
        <w:rPr>
          <w:b w:val="0"/>
          <w:bCs/>
          <w:i w:val="0"/>
          <w:iCs/>
          <w:lang w:val="en-US"/>
        </w:rPr>
        <w:t xml:space="preserve"> above, the corresponding Underlying Agreement</w:t>
      </w:r>
      <w:r w:rsidR="0074675A">
        <w:rPr>
          <w:b w:val="0"/>
          <w:bCs/>
          <w:i w:val="0"/>
          <w:iCs/>
          <w:lang w:val="en-US"/>
        </w:rPr>
        <w:t>,</w:t>
      </w:r>
      <w:r w:rsidR="0074675A" w:rsidRPr="0074675A">
        <w:rPr>
          <w:b w:val="0"/>
          <w:bCs/>
          <w:i w:val="0"/>
          <w:iCs/>
          <w:lang w:val="en-US"/>
        </w:rPr>
        <w:t xml:space="preserve"> </w:t>
      </w:r>
      <w:r w:rsidR="0074675A">
        <w:rPr>
          <w:b w:val="0"/>
          <w:bCs/>
          <w:i w:val="0"/>
          <w:iCs/>
          <w:lang w:val="en-US"/>
        </w:rPr>
        <w:t>corresponding Main Transaction</w:t>
      </w:r>
      <w:r w:rsidRPr="00BE1E60">
        <w:rPr>
          <w:b w:val="0"/>
          <w:bCs/>
          <w:i w:val="0"/>
          <w:iCs/>
          <w:lang w:val="en-US"/>
        </w:rPr>
        <w:t xml:space="preserve"> </w:t>
      </w:r>
      <w:r>
        <w:rPr>
          <w:b w:val="0"/>
          <w:bCs/>
          <w:i w:val="0"/>
          <w:iCs/>
          <w:lang w:val="en-US"/>
        </w:rPr>
        <w:t xml:space="preserve">and the transfer of personal data under it </w:t>
      </w:r>
      <w:r w:rsidRPr="00BE1E60">
        <w:rPr>
          <w:b w:val="0"/>
          <w:bCs/>
          <w:i w:val="0"/>
          <w:iCs/>
          <w:lang w:val="en-US"/>
        </w:rPr>
        <w:t>shall be deemed terminated.</w:t>
      </w:r>
    </w:p>
    <w:p w14:paraId="43D38F4A" w14:textId="6BDC8BE2" w:rsidR="00B94EC4" w:rsidRDefault="00B94EC4" w:rsidP="00C70BA6">
      <w:pPr>
        <w:pStyle w:val="1"/>
        <w:rPr>
          <w:lang w:val="en-US"/>
        </w:rPr>
      </w:pPr>
      <w:r>
        <w:rPr>
          <w:lang w:val="en-US"/>
        </w:rPr>
        <w:t>Governing Law and Jurisdiction</w:t>
      </w:r>
    </w:p>
    <w:p w14:paraId="08C103BF" w14:textId="77777777" w:rsidR="00A253F9" w:rsidRPr="00A253F9" w:rsidRDefault="00A253F9" w:rsidP="00B94EC4">
      <w:pPr>
        <w:pStyle w:val="2"/>
        <w:rPr>
          <w:lang w:val="en-US"/>
        </w:rPr>
      </w:pPr>
      <w:bookmarkStart w:id="14" w:name="_Ref46141017"/>
      <w:r>
        <w:rPr>
          <w:b w:val="0"/>
          <w:bCs/>
          <w:i w:val="0"/>
          <w:iCs/>
          <w:lang w:val="en-US"/>
        </w:rPr>
        <w:t>In case Annex 1 contains only one Underlying Agreement:</w:t>
      </w:r>
      <w:bookmarkEnd w:id="14"/>
    </w:p>
    <w:p w14:paraId="06EF5E95" w14:textId="11222CB2" w:rsidR="00B94EC4" w:rsidRDefault="00A253F9" w:rsidP="00A253F9">
      <w:pPr>
        <w:pStyle w:val="3"/>
        <w:rPr>
          <w:b w:val="0"/>
          <w:bCs/>
          <w:i w:val="0"/>
          <w:iCs/>
          <w:lang w:val="en-US"/>
        </w:rPr>
      </w:pPr>
      <w:r w:rsidRPr="00A253F9">
        <w:rPr>
          <w:b w:val="0"/>
          <w:bCs/>
          <w:i w:val="0"/>
          <w:iCs/>
          <w:lang w:val="en-US"/>
        </w:rPr>
        <w:t xml:space="preserve">this Amendment </w:t>
      </w:r>
      <w:r w:rsidR="00CF4A4F" w:rsidRPr="00CF4A4F">
        <w:rPr>
          <w:b w:val="0"/>
          <w:bCs/>
          <w:i w:val="0"/>
          <w:iCs/>
          <w:lang w:val="en-US"/>
        </w:rPr>
        <w:t xml:space="preserve">and any dispute or claim (including non-contractual disputes or claims) arising out of or in connection with it or its subject matter or formation shall be governed by and construed in accordance with the law </w:t>
      </w:r>
      <w:r w:rsidRPr="00A253F9">
        <w:rPr>
          <w:b w:val="0"/>
          <w:bCs/>
          <w:i w:val="0"/>
          <w:iCs/>
          <w:lang w:val="en-US"/>
        </w:rPr>
        <w:t>governing that one Underlying Agreement</w:t>
      </w:r>
      <w:r>
        <w:rPr>
          <w:b w:val="0"/>
          <w:bCs/>
          <w:i w:val="0"/>
          <w:iCs/>
          <w:lang w:val="en-US"/>
        </w:rPr>
        <w:t>; and</w:t>
      </w:r>
    </w:p>
    <w:p w14:paraId="549B7C26" w14:textId="3A7FB2D1" w:rsidR="00A253F9" w:rsidRDefault="00CF4A4F" w:rsidP="00A253F9">
      <w:pPr>
        <w:pStyle w:val="3"/>
        <w:rPr>
          <w:b w:val="0"/>
          <w:bCs/>
          <w:i w:val="0"/>
          <w:iCs/>
          <w:lang w:val="en-US"/>
        </w:rPr>
      </w:pPr>
      <w:r>
        <w:rPr>
          <w:b w:val="0"/>
          <w:bCs/>
          <w:i w:val="0"/>
          <w:iCs/>
          <w:lang w:val="en-US"/>
        </w:rPr>
        <w:t xml:space="preserve">with respect to any dispute or claim </w:t>
      </w:r>
      <w:r w:rsidRPr="00CF4A4F">
        <w:rPr>
          <w:b w:val="0"/>
          <w:bCs/>
          <w:i w:val="0"/>
          <w:iCs/>
          <w:lang w:val="en-US"/>
        </w:rPr>
        <w:t xml:space="preserve">(including non-contractual disputes or claims) that arises out of or in connection with this </w:t>
      </w:r>
      <w:r>
        <w:rPr>
          <w:b w:val="0"/>
          <w:bCs/>
          <w:i w:val="0"/>
          <w:iCs/>
          <w:lang w:val="en-US"/>
        </w:rPr>
        <w:t>Amendment</w:t>
      </w:r>
      <w:r w:rsidRPr="00CF4A4F">
        <w:rPr>
          <w:b w:val="0"/>
          <w:bCs/>
          <w:i w:val="0"/>
          <w:iCs/>
          <w:lang w:val="en-US"/>
        </w:rPr>
        <w:t xml:space="preserve"> or its subject matter or formation </w:t>
      </w:r>
      <w:r>
        <w:rPr>
          <w:b w:val="0"/>
          <w:bCs/>
          <w:i w:val="0"/>
          <w:iCs/>
          <w:lang w:val="en-US"/>
        </w:rPr>
        <w:t xml:space="preserve">the Parties </w:t>
      </w:r>
      <w:r w:rsidRPr="00CF4A4F">
        <w:rPr>
          <w:b w:val="0"/>
          <w:bCs/>
          <w:i w:val="0"/>
          <w:iCs/>
          <w:lang w:val="en-US"/>
        </w:rPr>
        <w:t xml:space="preserve">irrevocably </w:t>
      </w:r>
      <w:r>
        <w:rPr>
          <w:b w:val="0"/>
          <w:bCs/>
          <w:i w:val="0"/>
          <w:iCs/>
          <w:lang w:val="en-US"/>
        </w:rPr>
        <w:t>agree to the jurisdiction of the court, arbitral tribunal and/or other dispute resolution mechanism provided in that one Underlying Agreement.</w:t>
      </w:r>
    </w:p>
    <w:p w14:paraId="67094D7B" w14:textId="59F1AA16" w:rsidR="00CF4A4F" w:rsidRPr="00CF4A4F" w:rsidRDefault="00CF4A4F" w:rsidP="00CF4A4F">
      <w:pPr>
        <w:pStyle w:val="2"/>
        <w:rPr>
          <w:lang w:val="en-US"/>
        </w:rPr>
      </w:pPr>
      <w:r>
        <w:rPr>
          <w:b w:val="0"/>
          <w:bCs/>
          <w:i w:val="0"/>
          <w:iCs/>
          <w:lang w:val="en-US"/>
        </w:rPr>
        <w:t xml:space="preserve">In case the condition provided under Section </w:t>
      </w:r>
      <w:r>
        <w:rPr>
          <w:b w:val="0"/>
          <w:bCs/>
          <w:i w:val="0"/>
          <w:iCs/>
          <w:lang w:val="en-US"/>
        </w:rPr>
        <w:fldChar w:fldCharType="begin"/>
      </w:r>
      <w:r>
        <w:rPr>
          <w:b w:val="0"/>
          <w:bCs/>
          <w:i w:val="0"/>
          <w:iCs/>
          <w:lang w:val="en-US"/>
        </w:rPr>
        <w:instrText xml:space="preserve"> REF _Ref46141017 \r \h </w:instrText>
      </w:r>
      <w:r>
        <w:rPr>
          <w:b w:val="0"/>
          <w:bCs/>
          <w:i w:val="0"/>
          <w:iCs/>
          <w:lang w:val="en-US"/>
        </w:rPr>
      </w:r>
      <w:r>
        <w:rPr>
          <w:b w:val="0"/>
          <w:bCs/>
          <w:i w:val="0"/>
          <w:iCs/>
          <w:lang w:val="en-US"/>
        </w:rPr>
        <w:fldChar w:fldCharType="separate"/>
      </w:r>
      <w:r w:rsidR="002662E7">
        <w:rPr>
          <w:b w:val="0"/>
          <w:bCs/>
          <w:i w:val="0"/>
          <w:iCs/>
          <w:lang w:val="en-US"/>
        </w:rPr>
        <w:t>5.1</w:t>
      </w:r>
      <w:r>
        <w:rPr>
          <w:b w:val="0"/>
          <w:bCs/>
          <w:i w:val="0"/>
          <w:iCs/>
          <w:lang w:val="en-US"/>
        </w:rPr>
        <w:fldChar w:fldCharType="end"/>
      </w:r>
      <w:r>
        <w:rPr>
          <w:b w:val="0"/>
          <w:bCs/>
          <w:i w:val="0"/>
          <w:iCs/>
          <w:lang w:val="en-US"/>
        </w:rPr>
        <w:t xml:space="preserve"> above is not satisfied:</w:t>
      </w:r>
    </w:p>
    <w:p w14:paraId="79FBC339" w14:textId="7205FB69" w:rsidR="00CF4A4F" w:rsidRDefault="00CF4A4F" w:rsidP="00CF4A4F">
      <w:pPr>
        <w:pStyle w:val="3"/>
        <w:rPr>
          <w:b w:val="0"/>
          <w:bCs/>
          <w:i w:val="0"/>
          <w:iCs/>
          <w:lang w:val="en-US"/>
        </w:rPr>
      </w:pPr>
      <w:r w:rsidRPr="00A253F9">
        <w:rPr>
          <w:b w:val="0"/>
          <w:bCs/>
          <w:i w:val="0"/>
          <w:iCs/>
          <w:lang w:val="en-US"/>
        </w:rPr>
        <w:t xml:space="preserve">this Amendment </w:t>
      </w:r>
      <w:r w:rsidRPr="00CF4A4F">
        <w:rPr>
          <w:b w:val="0"/>
          <w:bCs/>
          <w:i w:val="0"/>
          <w:iCs/>
          <w:lang w:val="en-US"/>
        </w:rPr>
        <w:t xml:space="preserve">and any dispute or claim (including non-contractual disputes or claims) arising out of or in connection with it or its subject matter or formation shall be governed by and construed in accordance with the law </w:t>
      </w:r>
      <w:r>
        <w:rPr>
          <w:b w:val="0"/>
          <w:bCs/>
          <w:i w:val="0"/>
          <w:iCs/>
          <w:lang w:val="en-US"/>
        </w:rPr>
        <w:t>of the country of incorporation of the Controller; and</w:t>
      </w:r>
    </w:p>
    <w:p w14:paraId="51891F60" w14:textId="52A22DDB" w:rsidR="00CF4A4F" w:rsidRPr="00CF4A4F" w:rsidRDefault="00CF4A4F" w:rsidP="00CF4A4F">
      <w:pPr>
        <w:pStyle w:val="3"/>
        <w:rPr>
          <w:lang w:val="en-US"/>
        </w:rPr>
      </w:pPr>
      <w:r>
        <w:rPr>
          <w:b w:val="0"/>
          <w:bCs/>
          <w:i w:val="0"/>
          <w:iCs/>
          <w:lang w:val="en-US"/>
        </w:rPr>
        <w:t xml:space="preserve">with respect to the any dispute or claim </w:t>
      </w:r>
      <w:r w:rsidRPr="00CF4A4F">
        <w:rPr>
          <w:b w:val="0"/>
          <w:bCs/>
          <w:i w:val="0"/>
          <w:iCs/>
          <w:lang w:val="en-US"/>
        </w:rPr>
        <w:t xml:space="preserve">(including non-contractual disputes or claims) that arises out of or in connection with this </w:t>
      </w:r>
      <w:r>
        <w:rPr>
          <w:b w:val="0"/>
          <w:bCs/>
          <w:i w:val="0"/>
          <w:iCs/>
          <w:lang w:val="en-US"/>
        </w:rPr>
        <w:t>Amendment</w:t>
      </w:r>
      <w:r w:rsidRPr="00CF4A4F">
        <w:rPr>
          <w:b w:val="0"/>
          <w:bCs/>
          <w:i w:val="0"/>
          <w:iCs/>
          <w:lang w:val="en-US"/>
        </w:rPr>
        <w:t xml:space="preserve"> or its subject matter or formation </w:t>
      </w:r>
      <w:r>
        <w:rPr>
          <w:b w:val="0"/>
          <w:bCs/>
          <w:i w:val="0"/>
          <w:iCs/>
          <w:lang w:val="en-US"/>
        </w:rPr>
        <w:t xml:space="preserve">the Parties </w:t>
      </w:r>
      <w:r w:rsidRPr="00CF4A4F">
        <w:rPr>
          <w:b w:val="0"/>
          <w:bCs/>
          <w:i w:val="0"/>
          <w:iCs/>
          <w:lang w:val="en-US"/>
        </w:rPr>
        <w:t xml:space="preserve">irrevocably </w:t>
      </w:r>
      <w:r>
        <w:rPr>
          <w:b w:val="0"/>
          <w:bCs/>
          <w:i w:val="0"/>
          <w:iCs/>
          <w:lang w:val="en-US"/>
        </w:rPr>
        <w:t>agree to the jurisdiction of the courts of the country of incorporation of the Controller.</w:t>
      </w:r>
    </w:p>
    <w:p w14:paraId="570187ED" w14:textId="7032A775" w:rsidR="00C70BA6" w:rsidRDefault="00C70BA6" w:rsidP="00C70BA6">
      <w:pPr>
        <w:pStyle w:val="1"/>
        <w:rPr>
          <w:lang w:val="en-US"/>
        </w:rPr>
      </w:pPr>
      <w:r>
        <w:rPr>
          <w:lang w:val="en-US"/>
        </w:rPr>
        <w:t>Misc</w:t>
      </w:r>
      <w:r w:rsidR="0034501B">
        <w:rPr>
          <w:lang w:val="en-US"/>
        </w:rPr>
        <w:t>ellaneous</w:t>
      </w:r>
    </w:p>
    <w:p w14:paraId="221C1AE5" w14:textId="29B399FC" w:rsidR="003711AB" w:rsidRDefault="0034501B" w:rsidP="00C70BA6">
      <w:pPr>
        <w:pStyle w:val="2"/>
        <w:rPr>
          <w:b w:val="0"/>
          <w:bCs/>
          <w:i w:val="0"/>
          <w:iCs/>
          <w:lang w:val="en-US"/>
        </w:rPr>
      </w:pPr>
      <w:r w:rsidRPr="0034501B">
        <w:rPr>
          <w:b w:val="0"/>
          <w:bCs/>
          <w:i w:val="0"/>
          <w:iCs/>
          <w:lang w:val="en-US"/>
        </w:rPr>
        <w:t xml:space="preserve">The sole </w:t>
      </w:r>
      <w:r>
        <w:rPr>
          <w:b w:val="0"/>
          <w:bCs/>
          <w:i w:val="0"/>
          <w:iCs/>
          <w:lang w:val="en-US"/>
        </w:rPr>
        <w:t xml:space="preserve">purpose of this Amendment is to ensure the level of protection of data subject rights equivalent to that guaranteed within the EU by the GDPR. Accordingly, it should not be construed as in any way affecting the commercial relationship between Controller and Processor, including, </w:t>
      </w:r>
      <w:r w:rsidRPr="0034501B">
        <w:rPr>
          <w:b w:val="0"/>
          <w:bCs/>
          <w:lang w:val="en-US"/>
        </w:rPr>
        <w:t>inter alia</w:t>
      </w:r>
      <w:r>
        <w:rPr>
          <w:b w:val="0"/>
          <w:bCs/>
          <w:i w:val="0"/>
          <w:iCs/>
          <w:lang w:val="en-US"/>
        </w:rPr>
        <w:t>, as an indication of wish to prolong the corresponding Underlying Agreement (or a promise to do so). It should also not be regarded as a waiver of right to claim deficiency with respect to the processing of personal data that occurred before the conclusion of this Amendment.</w:t>
      </w:r>
    </w:p>
    <w:p w14:paraId="6A273395" w14:textId="430DAEDD" w:rsidR="00DA0475" w:rsidRDefault="00DA0475" w:rsidP="00C70BA6">
      <w:pPr>
        <w:pStyle w:val="2"/>
        <w:rPr>
          <w:b w:val="0"/>
          <w:bCs/>
          <w:i w:val="0"/>
          <w:iCs/>
          <w:lang w:val="en-US"/>
        </w:rPr>
      </w:pPr>
      <w:r>
        <w:rPr>
          <w:b w:val="0"/>
          <w:bCs/>
          <w:i w:val="0"/>
          <w:iCs/>
          <w:lang w:val="en-US"/>
        </w:rPr>
        <w:t xml:space="preserve">This Amendment shall come into force </w:t>
      </w:r>
      <w:r w:rsidR="003B7DAB">
        <w:rPr>
          <w:b w:val="0"/>
          <w:bCs/>
          <w:i w:val="0"/>
          <w:iCs/>
          <w:lang w:val="en-US"/>
        </w:rPr>
        <w:t>upon</w:t>
      </w:r>
      <w:r>
        <w:rPr>
          <w:b w:val="0"/>
          <w:bCs/>
          <w:i w:val="0"/>
          <w:iCs/>
          <w:lang w:val="en-US"/>
        </w:rPr>
        <w:t xml:space="preserve"> placement of the last signature of the Parties.</w:t>
      </w:r>
      <w:r w:rsidR="003B7DAB">
        <w:rPr>
          <w:b w:val="0"/>
          <w:bCs/>
          <w:i w:val="0"/>
          <w:iCs/>
          <w:lang w:val="en-US"/>
        </w:rPr>
        <w:t xml:space="preserve"> </w:t>
      </w:r>
    </w:p>
    <w:p w14:paraId="3230C037" w14:textId="32A207F7" w:rsidR="00D26F9F" w:rsidRPr="00CE06E5" w:rsidRDefault="00CE06E5" w:rsidP="00C70BA6">
      <w:pPr>
        <w:pStyle w:val="2"/>
        <w:rPr>
          <w:b w:val="0"/>
          <w:bCs/>
          <w:i w:val="0"/>
          <w:iCs/>
          <w:lang w:val="en-US"/>
        </w:rPr>
      </w:pPr>
      <w:r w:rsidRPr="00CE06E5">
        <w:rPr>
          <w:b w:val="0"/>
          <w:bCs/>
          <w:i w:val="0"/>
          <w:iCs/>
          <w:lang w:val="en-US"/>
        </w:rPr>
        <w:t xml:space="preserve">This Amendment may be concluded, </w:t>
      </w:r>
      <w:r w:rsidRPr="00CE06E5">
        <w:rPr>
          <w:b w:val="0"/>
          <w:bCs/>
          <w:lang w:val="en-US"/>
        </w:rPr>
        <w:t>inter alia</w:t>
      </w:r>
      <w:r w:rsidRPr="00CE06E5">
        <w:rPr>
          <w:b w:val="0"/>
          <w:bCs/>
          <w:i w:val="0"/>
          <w:iCs/>
          <w:lang w:val="en-US"/>
        </w:rPr>
        <w:t>, by exchange of scanned copies</w:t>
      </w:r>
      <w:r>
        <w:rPr>
          <w:b w:val="0"/>
          <w:bCs/>
          <w:i w:val="0"/>
          <w:iCs/>
          <w:lang w:val="en-US"/>
        </w:rPr>
        <w:t xml:space="preserve"> via email.</w:t>
      </w:r>
    </w:p>
    <w:p w14:paraId="100CC013" w14:textId="7D469D79" w:rsidR="00DA0475" w:rsidRDefault="00DA0475" w:rsidP="00C70BA6">
      <w:pPr>
        <w:pStyle w:val="2"/>
        <w:rPr>
          <w:b w:val="0"/>
          <w:bCs/>
          <w:i w:val="0"/>
          <w:iCs/>
          <w:lang w:val="en-US"/>
        </w:rPr>
      </w:pPr>
      <w:r w:rsidRPr="00DA0475">
        <w:rPr>
          <w:b w:val="0"/>
          <w:bCs/>
          <w:i w:val="0"/>
          <w:iCs/>
          <w:lang w:val="en-US"/>
        </w:rPr>
        <w:lastRenderedPageBreak/>
        <w:t xml:space="preserve">No amendment of this </w:t>
      </w:r>
      <w:r>
        <w:rPr>
          <w:b w:val="0"/>
          <w:bCs/>
          <w:i w:val="0"/>
          <w:iCs/>
          <w:lang w:val="en-US"/>
        </w:rPr>
        <w:t xml:space="preserve">Amendment </w:t>
      </w:r>
      <w:r w:rsidRPr="00DA0475">
        <w:rPr>
          <w:b w:val="0"/>
          <w:bCs/>
          <w:i w:val="0"/>
          <w:iCs/>
          <w:lang w:val="en-US"/>
        </w:rPr>
        <w:t xml:space="preserve">shall be effective unless it is in writing and signed by, or on behalf of, each </w:t>
      </w:r>
      <w:r>
        <w:rPr>
          <w:b w:val="0"/>
          <w:bCs/>
          <w:i w:val="0"/>
          <w:iCs/>
          <w:lang w:val="en-US"/>
        </w:rPr>
        <w:t>P</w:t>
      </w:r>
      <w:r w:rsidRPr="00DA0475">
        <w:rPr>
          <w:b w:val="0"/>
          <w:bCs/>
          <w:i w:val="0"/>
          <w:iCs/>
          <w:lang w:val="en-US"/>
        </w:rPr>
        <w:t>arty to it.</w:t>
      </w:r>
    </w:p>
    <w:p w14:paraId="19141B34" w14:textId="4987FE9B" w:rsidR="00DA0475" w:rsidRPr="00DA0475" w:rsidRDefault="00DA0475" w:rsidP="00DA0475">
      <w:pPr>
        <w:pStyle w:val="2"/>
        <w:rPr>
          <w:b w:val="0"/>
          <w:bCs/>
          <w:i w:val="0"/>
          <w:iCs/>
          <w:lang w:val="en-US"/>
        </w:rPr>
      </w:pPr>
      <w:r w:rsidRPr="00C70BA6">
        <w:rPr>
          <w:b w:val="0"/>
          <w:bCs/>
          <w:i w:val="0"/>
          <w:iCs/>
          <w:lang w:val="en-US"/>
        </w:rPr>
        <w:t xml:space="preserve">This </w:t>
      </w:r>
      <w:r>
        <w:rPr>
          <w:b w:val="0"/>
          <w:bCs/>
          <w:i w:val="0"/>
          <w:iCs/>
          <w:lang w:val="en-US"/>
        </w:rPr>
        <w:t xml:space="preserve">Amendment may be amended or terminated both in its entirety as well as separately for each Underlying Agreement. </w:t>
      </w:r>
    </w:p>
    <w:p w14:paraId="04DB1CBB" w14:textId="4326A2C1" w:rsidR="00DA0475" w:rsidRDefault="00DA0475" w:rsidP="00C70BA6">
      <w:pPr>
        <w:pStyle w:val="2"/>
        <w:rPr>
          <w:b w:val="0"/>
          <w:bCs/>
          <w:i w:val="0"/>
          <w:iCs/>
          <w:lang w:val="en-US"/>
        </w:rPr>
      </w:pPr>
      <w:r w:rsidRPr="00DA0475">
        <w:rPr>
          <w:b w:val="0"/>
          <w:bCs/>
          <w:i w:val="0"/>
          <w:iCs/>
          <w:lang w:val="en-US"/>
        </w:rPr>
        <w:t xml:space="preserve">Neither Party may assign any of that Party's rights or transfer any of that Party's rights and obligations under this </w:t>
      </w:r>
      <w:r>
        <w:rPr>
          <w:b w:val="0"/>
          <w:bCs/>
          <w:i w:val="0"/>
          <w:iCs/>
          <w:lang w:val="en-US"/>
        </w:rPr>
        <w:t>Amendment</w:t>
      </w:r>
      <w:r w:rsidRPr="00DA0475">
        <w:rPr>
          <w:b w:val="0"/>
          <w:bCs/>
          <w:i w:val="0"/>
          <w:iCs/>
          <w:lang w:val="en-US"/>
        </w:rPr>
        <w:t xml:space="preserve"> without the written consent of the other Party.</w:t>
      </w:r>
    </w:p>
    <w:p w14:paraId="3C3EA4E6" w14:textId="3520CA1A" w:rsidR="00DA0475" w:rsidRDefault="00DA0475" w:rsidP="00C70BA6">
      <w:pPr>
        <w:pStyle w:val="2"/>
        <w:rPr>
          <w:b w:val="0"/>
          <w:bCs/>
          <w:i w:val="0"/>
          <w:iCs/>
          <w:lang w:val="en-US"/>
        </w:rPr>
      </w:pPr>
      <w:r w:rsidRPr="00DA0475">
        <w:rPr>
          <w:b w:val="0"/>
          <w:bCs/>
          <w:i w:val="0"/>
          <w:iCs/>
          <w:lang w:val="en-US"/>
        </w:rPr>
        <w:t xml:space="preserve">This </w:t>
      </w:r>
      <w:r>
        <w:rPr>
          <w:b w:val="0"/>
          <w:bCs/>
          <w:i w:val="0"/>
          <w:iCs/>
          <w:lang w:val="en-US"/>
        </w:rPr>
        <w:t>Amendment</w:t>
      </w:r>
      <w:r w:rsidRPr="00DA0475">
        <w:rPr>
          <w:b w:val="0"/>
          <w:bCs/>
          <w:i w:val="0"/>
          <w:iCs/>
          <w:lang w:val="en-US"/>
        </w:rPr>
        <w:t xml:space="preserve"> comprise</w:t>
      </w:r>
      <w:r>
        <w:rPr>
          <w:b w:val="0"/>
          <w:bCs/>
          <w:i w:val="0"/>
          <w:iCs/>
          <w:lang w:val="en-US"/>
        </w:rPr>
        <w:t>s</w:t>
      </w:r>
      <w:r w:rsidRPr="00DA0475">
        <w:rPr>
          <w:b w:val="0"/>
          <w:bCs/>
          <w:i w:val="0"/>
          <w:iCs/>
          <w:lang w:val="en-US"/>
        </w:rPr>
        <w:t xml:space="preserve"> the entire agreement between the Parties regarding the subject matter hereof and supersedes all prior proposals, understandings, and all other agreements, oral, and written between the Parties relating to the </w:t>
      </w:r>
      <w:r>
        <w:rPr>
          <w:b w:val="0"/>
          <w:bCs/>
          <w:i w:val="0"/>
          <w:iCs/>
          <w:lang w:val="en-US"/>
        </w:rPr>
        <w:t>Amendment</w:t>
      </w:r>
      <w:r w:rsidRPr="00DA0475">
        <w:rPr>
          <w:b w:val="0"/>
          <w:bCs/>
          <w:i w:val="0"/>
          <w:iCs/>
          <w:lang w:val="en-US"/>
        </w:rPr>
        <w:t>.</w:t>
      </w:r>
    </w:p>
    <w:p w14:paraId="45F61080" w14:textId="4803BB57" w:rsidR="00DA0475" w:rsidRPr="0034501B" w:rsidRDefault="00DA0475" w:rsidP="00C70BA6">
      <w:pPr>
        <w:pStyle w:val="2"/>
        <w:rPr>
          <w:b w:val="0"/>
          <w:bCs/>
          <w:i w:val="0"/>
          <w:iCs/>
          <w:lang w:val="en-US"/>
        </w:rPr>
      </w:pPr>
      <w:r w:rsidRPr="00DA0475">
        <w:rPr>
          <w:b w:val="0"/>
          <w:bCs/>
          <w:i w:val="0"/>
          <w:iCs/>
          <w:lang w:val="en-US"/>
        </w:rPr>
        <w:t xml:space="preserve">If any part of this </w:t>
      </w:r>
      <w:r>
        <w:rPr>
          <w:b w:val="0"/>
          <w:bCs/>
          <w:i w:val="0"/>
          <w:iCs/>
          <w:lang w:val="en-US"/>
        </w:rPr>
        <w:t>Amendment</w:t>
      </w:r>
      <w:r w:rsidRPr="00DA0475">
        <w:rPr>
          <w:b w:val="0"/>
          <w:bCs/>
          <w:i w:val="0"/>
          <w:iCs/>
          <w:lang w:val="en-US"/>
        </w:rPr>
        <w:t xml:space="preserve"> is held to be illegal or unenforceable, then such provision will be modified to reflect the Parties’ intention. The validity or enforceability of the remainder of this </w:t>
      </w:r>
      <w:r>
        <w:rPr>
          <w:b w:val="0"/>
          <w:bCs/>
          <w:i w:val="0"/>
          <w:iCs/>
          <w:lang w:val="en-US"/>
        </w:rPr>
        <w:t>Amendment</w:t>
      </w:r>
      <w:r w:rsidRPr="00DA0475">
        <w:rPr>
          <w:b w:val="0"/>
          <w:bCs/>
          <w:i w:val="0"/>
          <w:iCs/>
          <w:lang w:val="en-US"/>
        </w:rPr>
        <w:t xml:space="preserve"> shall not be affected.</w:t>
      </w:r>
    </w:p>
    <w:p w14:paraId="6D6CB04E" w14:textId="705CA178" w:rsidR="00A821D8" w:rsidRDefault="008B23B6" w:rsidP="00C70BA6">
      <w:pPr>
        <w:pStyle w:val="2"/>
        <w:rPr>
          <w:b w:val="0"/>
          <w:bCs/>
          <w:i w:val="0"/>
          <w:iCs/>
          <w:lang w:val="en-US"/>
        </w:rPr>
      </w:pPr>
      <w:r>
        <w:rPr>
          <w:b w:val="0"/>
          <w:bCs/>
          <w:i w:val="0"/>
          <w:iCs/>
          <w:lang w:val="en-US"/>
        </w:rPr>
        <w:t xml:space="preserve">The following Annexes </w:t>
      </w:r>
      <w:r w:rsidRPr="008B23B6">
        <w:rPr>
          <w:b w:val="0"/>
          <w:bCs/>
          <w:i w:val="0"/>
          <w:iCs/>
          <w:lang w:val="en-US"/>
        </w:rPr>
        <w:t xml:space="preserve">represent an integral part of this </w:t>
      </w:r>
      <w:r>
        <w:rPr>
          <w:b w:val="0"/>
          <w:bCs/>
          <w:i w:val="0"/>
          <w:iCs/>
          <w:lang w:val="en-US"/>
        </w:rPr>
        <w:t>Amendment</w:t>
      </w:r>
      <w:r w:rsidR="00A821D8">
        <w:rPr>
          <w:b w:val="0"/>
          <w:bCs/>
          <w:i w:val="0"/>
          <w:iCs/>
          <w:lang w:val="en-US"/>
        </w:rPr>
        <w:t>:</w:t>
      </w:r>
    </w:p>
    <w:p w14:paraId="00B45F34" w14:textId="7ACA055A" w:rsidR="00A821D8" w:rsidRDefault="00A821D8" w:rsidP="00A821D8">
      <w:pPr>
        <w:pStyle w:val="3"/>
        <w:rPr>
          <w:b w:val="0"/>
          <w:bCs/>
          <w:i w:val="0"/>
          <w:iCs/>
          <w:lang w:val="en-US"/>
        </w:rPr>
      </w:pPr>
      <w:r w:rsidRPr="00A821D8">
        <w:rPr>
          <w:b w:val="0"/>
          <w:bCs/>
          <w:i w:val="0"/>
          <w:iCs/>
          <w:lang w:val="en-US"/>
        </w:rPr>
        <w:t>Annex 1. Underlying Agreements</w:t>
      </w:r>
    </w:p>
    <w:p w14:paraId="333C47E8" w14:textId="17C9D6D7" w:rsidR="00DA0475" w:rsidRPr="00DA0475" w:rsidRDefault="00DA0475" w:rsidP="00DA0475">
      <w:pPr>
        <w:pStyle w:val="3"/>
        <w:rPr>
          <w:b w:val="0"/>
          <w:bCs/>
          <w:i w:val="0"/>
          <w:iCs/>
          <w:lang w:val="en-US"/>
        </w:rPr>
      </w:pPr>
      <w:r w:rsidRPr="00DA0475">
        <w:rPr>
          <w:b w:val="0"/>
          <w:bCs/>
          <w:i w:val="0"/>
          <w:iCs/>
          <w:lang w:val="en-US"/>
        </w:rPr>
        <w:t>Annex 2. Equivalent Protection Assessment</w:t>
      </w:r>
      <w:r>
        <w:rPr>
          <w:b w:val="0"/>
          <w:bCs/>
          <w:i w:val="0"/>
          <w:iCs/>
          <w:lang w:val="en-US"/>
        </w:rPr>
        <w:t xml:space="preserve"> and Commitment (Optional)</w:t>
      </w:r>
    </w:p>
    <w:p w14:paraId="5AF8BCDC" w14:textId="3C3F8183" w:rsidR="00DA0475" w:rsidRDefault="00DA0475" w:rsidP="00DA0475">
      <w:pPr>
        <w:rPr>
          <w:lang w:val="en-US"/>
        </w:rPr>
      </w:pPr>
      <w:r w:rsidRPr="00DA0475">
        <w:rPr>
          <w:lang w:val="en-US"/>
        </w:rPr>
        <w:t>This Agreement has been entered into on the date stated at the beginning of it.</w:t>
      </w:r>
    </w:p>
    <w:p w14:paraId="6B5848D7" w14:textId="1A0BAB97" w:rsidR="00DA0475" w:rsidRDefault="00DA0475" w:rsidP="00DA0475">
      <w:pPr>
        <w:pStyle w:val="1"/>
        <w:rPr>
          <w:lang w:val="en-US"/>
        </w:rPr>
      </w:pPr>
      <w:r>
        <w:rPr>
          <w:lang w:val="en-US"/>
        </w:rPr>
        <w:t>Signatures</w:t>
      </w:r>
    </w:p>
    <w:tbl>
      <w:tblPr>
        <w:tblW w:w="9326" w:type="dxa"/>
        <w:tblInd w:w="30" w:type="dxa"/>
        <w:tblLayout w:type="fixed"/>
        <w:tblCellMar>
          <w:left w:w="0" w:type="dxa"/>
          <w:right w:w="0" w:type="dxa"/>
        </w:tblCellMar>
        <w:tblLook w:val="04A0" w:firstRow="1" w:lastRow="0" w:firstColumn="1" w:lastColumn="0" w:noHBand="0" w:noVBand="1"/>
      </w:tblPr>
      <w:tblGrid>
        <w:gridCol w:w="4800"/>
        <w:gridCol w:w="480"/>
        <w:gridCol w:w="4046"/>
      </w:tblGrid>
      <w:tr w:rsidR="00DA0475" w:rsidRPr="00DA0475" w14:paraId="6FFF0CEA" w14:textId="77777777" w:rsidTr="00F03965">
        <w:trPr>
          <w:cantSplit/>
        </w:trPr>
        <w:tc>
          <w:tcPr>
            <w:tcW w:w="4800" w:type="dxa"/>
            <w:tcMar>
              <w:top w:w="0" w:type="dxa"/>
              <w:left w:w="30" w:type="dxa"/>
              <w:bottom w:w="0" w:type="dxa"/>
              <w:right w:w="30" w:type="dxa"/>
            </w:tcMar>
            <w:hideMark/>
          </w:tcPr>
          <w:p w14:paraId="43A847F3" w14:textId="45F00715" w:rsidR="00DA0475" w:rsidRPr="00DA0475" w:rsidRDefault="00DA0475" w:rsidP="00F03965">
            <w:pPr>
              <w:widowControl w:val="0"/>
              <w:autoSpaceDE w:val="0"/>
              <w:autoSpaceDN w:val="0"/>
              <w:adjustRightInd w:val="0"/>
              <w:spacing w:before="120" w:line="276" w:lineRule="auto"/>
              <w:ind w:left="30" w:right="30"/>
              <w:rPr>
                <w:b/>
                <w:bCs/>
                <w:color w:val="000000"/>
                <w:lang w:val="en-US"/>
              </w:rPr>
            </w:pPr>
            <w:r w:rsidRPr="00DA0475">
              <w:rPr>
                <w:b/>
                <w:bCs/>
                <w:color w:val="000000"/>
                <w:lang w:val="en-US"/>
              </w:rPr>
              <w:t>Controller</w:t>
            </w:r>
          </w:p>
          <w:p w14:paraId="038971B9" w14:textId="6ABF302E" w:rsidR="00DA0475" w:rsidRPr="00DA0475" w:rsidRDefault="00DA0475" w:rsidP="00F03965">
            <w:pPr>
              <w:widowControl w:val="0"/>
              <w:autoSpaceDE w:val="0"/>
              <w:autoSpaceDN w:val="0"/>
              <w:adjustRightInd w:val="0"/>
              <w:spacing w:before="120" w:line="276" w:lineRule="auto"/>
              <w:ind w:left="30" w:right="30"/>
              <w:rPr>
                <w:color w:val="000000"/>
                <w:lang w:val="en-US"/>
              </w:rPr>
            </w:pPr>
            <w:r w:rsidRPr="00DA0475">
              <w:rPr>
                <w:color w:val="000000"/>
                <w:lang w:val="en-US"/>
              </w:rPr>
              <w:t xml:space="preserve">Signed by </w:t>
            </w:r>
          </w:p>
          <w:p w14:paraId="055D9576" w14:textId="3EBC9E07" w:rsidR="00DA0475" w:rsidRPr="00DA0475" w:rsidRDefault="00DA0475" w:rsidP="00DA0475">
            <w:pPr>
              <w:widowControl w:val="0"/>
              <w:autoSpaceDE w:val="0"/>
              <w:autoSpaceDN w:val="0"/>
              <w:adjustRightInd w:val="0"/>
              <w:spacing w:before="120" w:line="276" w:lineRule="auto"/>
              <w:ind w:left="30" w:right="30"/>
              <w:rPr>
                <w:color w:val="000000"/>
                <w:lang w:val="en-US"/>
              </w:rPr>
            </w:pPr>
            <w:r>
              <w:rPr>
                <w:b/>
                <w:lang w:val="en-US"/>
              </w:rPr>
              <w:fldChar w:fldCharType="begin"/>
            </w:r>
            <w:r>
              <w:rPr>
                <w:b/>
                <w:lang w:val="en-US"/>
              </w:rPr>
              <w:instrText xml:space="preserve"> MERGEFIELD  ControllerSigName  \* MERGEFORMAT </w:instrText>
            </w:r>
            <w:r>
              <w:rPr>
                <w:b/>
                <w:lang w:val="en-US"/>
              </w:rPr>
              <w:fldChar w:fldCharType="separate"/>
            </w:r>
            <w:r w:rsidR="002662E7">
              <w:rPr>
                <w:b/>
                <w:noProof/>
                <w:lang w:val="en-US"/>
              </w:rPr>
              <w:t>«ControllerSigName»</w:t>
            </w:r>
            <w:r>
              <w:rPr>
                <w:b/>
                <w:lang w:val="en-US"/>
              </w:rPr>
              <w:fldChar w:fldCharType="end"/>
            </w:r>
            <w:r w:rsidRPr="00DA0475">
              <w:rPr>
                <w:b/>
                <w:lang w:val="en-US"/>
              </w:rPr>
              <w:t xml:space="preserve"> </w:t>
            </w:r>
            <w:r w:rsidRPr="00DA0475">
              <w:rPr>
                <w:color w:val="000000"/>
                <w:lang w:val="en-US"/>
              </w:rPr>
              <w:t xml:space="preserve">for and on behalf of </w:t>
            </w:r>
            <w:r w:rsidRPr="00865219">
              <w:rPr>
                <w:b/>
                <w:bCs/>
                <w:lang w:val="en-US"/>
              </w:rPr>
              <w:fldChar w:fldCharType="begin"/>
            </w:r>
            <w:r w:rsidRPr="00865219">
              <w:rPr>
                <w:b/>
                <w:bCs/>
                <w:lang w:val="en-US"/>
              </w:rPr>
              <w:instrText xml:space="preserve"> MERGEFIELD  ControllerName  \* MERGEFORMAT </w:instrText>
            </w:r>
            <w:r w:rsidRPr="00865219">
              <w:rPr>
                <w:b/>
                <w:bCs/>
                <w:lang w:val="en-US"/>
              </w:rPr>
              <w:fldChar w:fldCharType="separate"/>
            </w:r>
            <w:r w:rsidR="002662E7">
              <w:rPr>
                <w:b/>
                <w:bCs/>
                <w:noProof/>
                <w:lang w:val="en-US"/>
              </w:rPr>
              <w:t>«ControllerName»</w:t>
            </w:r>
            <w:r w:rsidRPr="00865219">
              <w:rPr>
                <w:b/>
                <w:bCs/>
                <w:lang w:val="en-US"/>
              </w:rPr>
              <w:fldChar w:fldCharType="end"/>
            </w:r>
          </w:p>
        </w:tc>
        <w:tc>
          <w:tcPr>
            <w:tcW w:w="480" w:type="dxa"/>
            <w:tcMar>
              <w:top w:w="0" w:type="dxa"/>
              <w:left w:w="30" w:type="dxa"/>
              <w:bottom w:w="0" w:type="dxa"/>
              <w:right w:w="30" w:type="dxa"/>
            </w:tcMar>
          </w:tcPr>
          <w:p w14:paraId="723B7434" w14:textId="77777777" w:rsidR="00DA0475" w:rsidRPr="00DA0475" w:rsidRDefault="00DA0475" w:rsidP="00F03965">
            <w:pPr>
              <w:widowControl w:val="0"/>
              <w:autoSpaceDE w:val="0"/>
              <w:autoSpaceDN w:val="0"/>
              <w:adjustRightInd w:val="0"/>
              <w:spacing w:before="120" w:line="276" w:lineRule="auto"/>
              <w:ind w:left="30" w:right="30"/>
              <w:rPr>
                <w:color w:val="000000"/>
                <w:lang w:val="en-US"/>
              </w:rPr>
            </w:pPr>
            <w:r w:rsidRPr="00DA0475">
              <w:rPr>
                <w:color w:val="000000"/>
                <w:lang w:val="en-US"/>
              </w:rPr>
              <w:t> </w:t>
            </w:r>
          </w:p>
          <w:p w14:paraId="6DE5F2C3" w14:textId="77777777" w:rsidR="00DA0475" w:rsidRPr="00DA0475" w:rsidRDefault="00DA0475" w:rsidP="00F03965">
            <w:pPr>
              <w:widowControl w:val="0"/>
              <w:autoSpaceDE w:val="0"/>
              <w:autoSpaceDN w:val="0"/>
              <w:adjustRightInd w:val="0"/>
              <w:spacing w:before="120" w:line="276" w:lineRule="auto"/>
              <w:ind w:left="30" w:right="30"/>
              <w:rPr>
                <w:color w:val="000000"/>
                <w:lang w:val="en-US"/>
              </w:rPr>
            </w:pPr>
          </w:p>
        </w:tc>
        <w:tc>
          <w:tcPr>
            <w:tcW w:w="4046" w:type="dxa"/>
            <w:tcMar>
              <w:top w:w="0" w:type="dxa"/>
              <w:left w:w="30" w:type="dxa"/>
              <w:bottom w:w="0" w:type="dxa"/>
              <w:right w:w="30" w:type="dxa"/>
            </w:tcMar>
          </w:tcPr>
          <w:p w14:paraId="299F170E" w14:textId="77777777" w:rsidR="00DA0475" w:rsidRPr="00DA0475" w:rsidRDefault="00DA0475" w:rsidP="00F03965">
            <w:pPr>
              <w:widowControl w:val="0"/>
              <w:autoSpaceDE w:val="0"/>
              <w:autoSpaceDN w:val="0"/>
              <w:adjustRightInd w:val="0"/>
              <w:spacing w:before="120" w:line="276" w:lineRule="auto"/>
              <w:ind w:left="30" w:right="30"/>
              <w:rPr>
                <w:color w:val="000000"/>
                <w:lang w:val="en-US"/>
              </w:rPr>
            </w:pPr>
          </w:p>
          <w:p w14:paraId="5744436F" w14:textId="5689CD74" w:rsidR="00DA0475" w:rsidRPr="00DA0475" w:rsidRDefault="00DA0475" w:rsidP="00F03965">
            <w:pPr>
              <w:widowControl w:val="0"/>
              <w:autoSpaceDE w:val="0"/>
              <w:autoSpaceDN w:val="0"/>
              <w:adjustRightInd w:val="0"/>
              <w:spacing w:before="120" w:line="276" w:lineRule="auto"/>
              <w:ind w:left="30" w:right="30"/>
              <w:rPr>
                <w:color w:val="000000"/>
                <w:lang w:val="en-US"/>
              </w:rPr>
            </w:pPr>
            <w:r w:rsidRPr="00DA0475">
              <w:rPr>
                <w:color w:val="000000"/>
              </w:rPr>
              <w:t>....................</w:t>
            </w:r>
            <w:r>
              <w:rPr>
                <w:color w:val="000000"/>
                <w:lang w:val="en-US"/>
              </w:rPr>
              <w:t xml:space="preserve"> (sig) / </w:t>
            </w:r>
            <w:r w:rsidRPr="00DA0475">
              <w:rPr>
                <w:color w:val="000000"/>
              </w:rPr>
              <w:t>....................</w:t>
            </w:r>
            <w:r>
              <w:rPr>
                <w:color w:val="000000"/>
                <w:lang w:val="en-US"/>
              </w:rPr>
              <w:t xml:space="preserve"> (date)</w:t>
            </w:r>
          </w:p>
          <w:p w14:paraId="3E4ECC43" w14:textId="0EAB4192" w:rsidR="00DA0475" w:rsidRPr="00DA0475" w:rsidRDefault="00DA0475" w:rsidP="00DA0475">
            <w:pPr>
              <w:widowControl w:val="0"/>
              <w:autoSpaceDE w:val="0"/>
              <w:autoSpaceDN w:val="0"/>
              <w:adjustRightInd w:val="0"/>
              <w:spacing w:before="120" w:line="276" w:lineRule="auto"/>
              <w:ind w:left="30" w:right="30"/>
              <w:rPr>
                <w:color w:val="000000"/>
                <w:lang w:val="en-US"/>
              </w:rPr>
            </w:pPr>
            <w:r>
              <w:rPr>
                <w:color w:val="000000"/>
              </w:rPr>
              <w:fldChar w:fldCharType="begin"/>
            </w:r>
            <w:r>
              <w:rPr>
                <w:color w:val="000000"/>
              </w:rPr>
              <w:instrText xml:space="preserve"> MERGEFIELD  ControllerSigPosition  \* MERGEFORMAT </w:instrText>
            </w:r>
            <w:r>
              <w:rPr>
                <w:color w:val="000000"/>
              </w:rPr>
              <w:fldChar w:fldCharType="separate"/>
            </w:r>
            <w:r w:rsidR="002662E7">
              <w:rPr>
                <w:noProof/>
                <w:color w:val="000000"/>
              </w:rPr>
              <w:t>«ControllerSigPosition»</w:t>
            </w:r>
            <w:r>
              <w:rPr>
                <w:color w:val="000000"/>
              </w:rPr>
              <w:fldChar w:fldCharType="end"/>
            </w:r>
          </w:p>
        </w:tc>
      </w:tr>
      <w:tr w:rsidR="00DA0475" w:rsidRPr="00F86E37" w14:paraId="782C83F4" w14:textId="77777777" w:rsidTr="00F03965">
        <w:trPr>
          <w:cantSplit/>
        </w:trPr>
        <w:tc>
          <w:tcPr>
            <w:tcW w:w="4800" w:type="dxa"/>
            <w:tcMar>
              <w:top w:w="0" w:type="dxa"/>
              <w:left w:w="30" w:type="dxa"/>
              <w:bottom w:w="0" w:type="dxa"/>
              <w:right w:w="30" w:type="dxa"/>
            </w:tcMar>
          </w:tcPr>
          <w:p w14:paraId="2999760C" w14:textId="3DE98A68" w:rsidR="00DA0475" w:rsidRPr="00DA0475" w:rsidRDefault="00DA0475" w:rsidP="00F03965">
            <w:pPr>
              <w:widowControl w:val="0"/>
              <w:autoSpaceDE w:val="0"/>
              <w:autoSpaceDN w:val="0"/>
              <w:adjustRightInd w:val="0"/>
              <w:spacing w:before="120" w:line="276" w:lineRule="auto"/>
              <w:ind w:left="30" w:right="30"/>
              <w:rPr>
                <w:b/>
                <w:bCs/>
                <w:color w:val="000000"/>
                <w:lang w:val="en-US"/>
              </w:rPr>
            </w:pPr>
            <w:r w:rsidRPr="00DA0475">
              <w:rPr>
                <w:b/>
                <w:bCs/>
                <w:color w:val="000000"/>
                <w:lang w:val="en-US"/>
              </w:rPr>
              <w:t>Processor</w:t>
            </w:r>
          </w:p>
          <w:p w14:paraId="269F6066" w14:textId="244C9915" w:rsidR="00DA0475" w:rsidRPr="00DA0475" w:rsidRDefault="00DA0475" w:rsidP="00F03965">
            <w:pPr>
              <w:widowControl w:val="0"/>
              <w:autoSpaceDE w:val="0"/>
              <w:autoSpaceDN w:val="0"/>
              <w:adjustRightInd w:val="0"/>
              <w:spacing w:before="120" w:line="276" w:lineRule="auto"/>
              <w:ind w:left="30" w:right="30"/>
              <w:rPr>
                <w:color w:val="000000"/>
                <w:lang w:val="en-US"/>
              </w:rPr>
            </w:pPr>
            <w:r w:rsidRPr="00DA0475">
              <w:rPr>
                <w:color w:val="000000"/>
                <w:lang w:val="en-US"/>
              </w:rPr>
              <w:t>Signed by</w:t>
            </w:r>
          </w:p>
          <w:p w14:paraId="3CE36EF8" w14:textId="0658214C" w:rsidR="00DA0475" w:rsidRPr="00DA0475" w:rsidRDefault="00DA0475" w:rsidP="00DA0475">
            <w:pPr>
              <w:widowControl w:val="0"/>
              <w:autoSpaceDE w:val="0"/>
              <w:autoSpaceDN w:val="0"/>
              <w:adjustRightInd w:val="0"/>
              <w:spacing w:before="120" w:line="276" w:lineRule="auto"/>
              <w:ind w:left="30" w:right="30"/>
              <w:rPr>
                <w:color w:val="000000"/>
                <w:lang w:val="en-US"/>
              </w:rPr>
            </w:pPr>
            <w:r>
              <w:rPr>
                <w:b/>
                <w:color w:val="000000"/>
                <w:lang w:val="en-US"/>
              </w:rPr>
              <w:fldChar w:fldCharType="begin"/>
            </w:r>
            <w:r>
              <w:rPr>
                <w:b/>
                <w:color w:val="000000"/>
                <w:lang w:val="en-US"/>
              </w:rPr>
              <w:instrText xml:space="preserve"> MERGEFIELD  ProcessorSigName  \* MERGEFORMAT </w:instrText>
            </w:r>
            <w:r>
              <w:rPr>
                <w:b/>
                <w:color w:val="000000"/>
                <w:lang w:val="en-US"/>
              </w:rPr>
              <w:fldChar w:fldCharType="separate"/>
            </w:r>
            <w:r w:rsidR="002662E7">
              <w:rPr>
                <w:b/>
                <w:noProof/>
                <w:color w:val="000000"/>
                <w:lang w:val="en-US"/>
              </w:rPr>
              <w:t>«ProcessorSigName»</w:t>
            </w:r>
            <w:r>
              <w:rPr>
                <w:b/>
                <w:color w:val="000000"/>
                <w:lang w:val="en-US"/>
              </w:rPr>
              <w:fldChar w:fldCharType="end"/>
            </w:r>
            <w:r>
              <w:rPr>
                <w:b/>
                <w:color w:val="000000"/>
                <w:lang w:val="en-US"/>
              </w:rPr>
              <w:t xml:space="preserve"> </w:t>
            </w:r>
            <w:r w:rsidRPr="00DA0475">
              <w:rPr>
                <w:color w:val="000000"/>
                <w:lang w:val="en-US"/>
              </w:rPr>
              <w:t xml:space="preserve">for and on behalf of </w:t>
            </w:r>
            <w:r w:rsidRPr="00865219">
              <w:rPr>
                <w:b/>
                <w:bCs/>
                <w:lang w:val="en-US"/>
              </w:rPr>
              <w:fldChar w:fldCharType="begin"/>
            </w:r>
            <w:r w:rsidRPr="00865219">
              <w:rPr>
                <w:b/>
                <w:bCs/>
                <w:lang w:val="en-US"/>
              </w:rPr>
              <w:instrText xml:space="preserve"> MERGEFIELD  ProcessorName  \* MERGEFORMAT </w:instrText>
            </w:r>
            <w:r w:rsidRPr="00865219">
              <w:rPr>
                <w:b/>
                <w:bCs/>
                <w:lang w:val="en-US"/>
              </w:rPr>
              <w:fldChar w:fldCharType="separate"/>
            </w:r>
            <w:r w:rsidR="002662E7">
              <w:rPr>
                <w:b/>
                <w:bCs/>
                <w:noProof/>
                <w:lang w:val="en-US"/>
              </w:rPr>
              <w:t>«ProcessorName»</w:t>
            </w:r>
            <w:r w:rsidRPr="00865219">
              <w:rPr>
                <w:b/>
                <w:bCs/>
                <w:lang w:val="en-US"/>
              </w:rPr>
              <w:fldChar w:fldCharType="end"/>
            </w:r>
          </w:p>
        </w:tc>
        <w:tc>
          <w:tcPr>
            <w:tcW w:w="480" w:type="dxa"/>
            <w:tcMar>
              <w:top w:w="0" w:type="dxa"/>
              <w:left w:w="30" w:type="dxa"/>
              <w:bottom w:w="0" w:type="dxa"/>
              <w:right w:w="30" w:type="dxa"/>
            </w:tcMar>
          </w:tcPr>
          <w:p w14:paraId="7C24FAFA" w14:textId="77777777" w:rsidR="00DA0475" w:rsidRPr="00DA0475" w:rsidRDefault="00DA0475" w:rsidP="00F03965">
            <w:pPr>
              <w:widowControl w:val="0"/>
              <w:autoSpaceDE w:val="0"/>
              <w:autoSpaceDN w:val="0"/>
              <w:adjustRightInd w:val="0"/>
              <w:spacing w:before="120" w:line="276" w:lineRule="auto"/>
              <w:ind w:left="30" w:right="30"/>
              <w:rPr>
                <w:color w:val="000000"/>
                <w:lang w:val="en-US"/>
              </w:rPr>
            </w:pPr>
            <w:r w:rsidRPr="00DA0475">
              <w:rPr>
                <w:color w:val="000000"/>
                <w:lang w:val="en-US"/>
              </w:rPr>
              <w:t> </w:t>
            </w:r>
          </w:p>
          <w:p w14:paraId="31BD55B0" w14:textId="77777777" w:rsidR="00DA0475" w:rsidRPr="00DA0475" w:rsidRDefault="00DA0475" w:rsidP="00F03965">
            <w:pPr>
              <w:widowControl w:val="0"/>
              <w:autoSpaceDE w:val="0"/>
              <w:autoSpaceDN w:val="0"/>
              <w:adjustRightInd w:val="0"/>
              <w:spacing w:before="120" w:line="276" w:lineRule="auto"/>
              <w:ind w:left="30" w:right="30"/>
              <w:rPr>
                <w:color w:val="000000"/>
                <w:lang w:val="en-US"/>
              </w:rPr>
            </w:pPr>
          </w:p>
        </w:tc>
        <w:tc>
          <w:tcPr>
            <w:tcW w:w="4046" w:type="dxa"/>
            <w:tcMar>
              <w:top w:w="0" w:type="dxa"/>
              <w:left w:w="30" w:type="dxa"/>
              <w:bottom w:w="0" w:type="dxa"/>
              <w:right w:w="30" w:type="dxa"/>
            </w:tcMar>
          </w:tcPr>
          <w:p w14:paraId="478D06FF" w14:textId="77777777" w:rsidR="00DA0475" w:rsidRPr="00DA0475" w:rsidRDefault="00DA0475" w:rsidP="00F03965">
            <w:pPr>
              <w:widowControl w:val="0"/>
              <w:autoSpaceDE w:val="0"/>
              <w:autoSpaceDN w:val="0"/>
              <w:adjustRightInd w:val="0"/>
              <w:spacing w:before="120" w:line="276" w:lineRule="auto"/>
              <w:ind w:left="30" w:right="30"/>
              <w:rPr>
                <w:color w:val="000000"/>
                <w:lang w:val="en-US"/>
              </w:rPr>
            </w:pPr>
          </w:p>
          <w:p w14:paraId="4437AD30" w14:textId="4E2058FC" w:rsidR="00DA0475" w:rsidRPr="00DA0475" w:rsidRDefault="00DA0475" w:rsidP="00DA0475">
            <w:pPr>
              <w:widowControl w:val="0"/>
              <w:autoSpaceDE w:val="0"/>
              <w:autoSpaceDN w:val="0"/>
              <w:adjustRightInd w:val="0"/>
              <w:spacing w:before="120" w:line="276" w:lineRule="auto"/>
              <w:ind w:left="30" w:right="30"/>
              <w:rPr>
                <w:color w:val="000000"/>
                <w:lang w:val="en-US"/>
              </w:rPr>
            </w:pPr>
            <w:r w:rsidRPr="00DA0475">
              <w:rPr>
                <w:color w:val="000000"/>
              </w:rPr>
              <w:t>....................</w:t>
            </w:r>
            <w:r>
              <w:rPr>
                <w:color w:val="000000"/>
                <w:lang w:val="en-US"/>
              </w:rPr>
              <w:t xml:space="preserve"> (sig) / </w:t>
            </w:r>
            <w:r w:rsidRPr="00DA0475">
              <w:rPr>
                <w:color w:val="000000"/>
              </w:rPr>
              <w:t>....................</w:t>
            </w:r>
            <w:r>
              <w:rPr>
                <w:color w:val="000000"/>
                <w:lang w:val="en-US"/>
              </w:rPr>
              <w:t xml:space="preserve"> (date)</w:t>
            </w:r>
          </w:p>
          <w:p w14:paraId="553F4AFC" w14:textId="09B8EE84" w:rsidR="00DA0475" w:rsidRPr="00DA0475" w:rsidRDefault="00DA0475" w:rsidP="00F03965">
            <w:pPr>
              <w:widowControl w:val="0"/>
              <w:autoSpaceDE w:val="0"/>
              <w:autoSpaceDN w:val="0"/>
              <w:adjustRightInd w:val="0"/>
              <w:spacing w:before="120" w:line="276" w:lineRule="auto"/>
              <w:ind w:left="30" w:right="30"/>
              <w:rPr>
                <w:color w:val="000000"/>
              </w:rPr>
            </w:pPr>
            <w:r>
              <w:rPr>
                <w:color w:val="000000"/>
                <w:lang w:val="en-US"/>
              </w:rPr>
              <w:fldChar w:fldCharType="begin"/>
            </w:r>
            <w:r>
              <w:rPr>
                <w:color w:val="000000"/>
                <w:lang w:val="en-US"/>
              </w:rPr>
              <w:instrText xml:space="preserve"> MERGEFIELD  ProcessorSigPosition  \* MERGEFORMAT </w:instrText>
            </w:r>
            <w:r>
              <w:rPr>
                <w:color w:val="000000"/>
                <w:lang w:val="en-US"/>
              </w:rPr>
              <w:fldChar w:fldCharType="separate"/>
            </w:r>
            <w:r w:rsidR="002662E7">
              <w:rPr>
                <w:noProof/>
                <w:color w:val="000000"/>
                <w:lang w:val="en-US"/>
              </w:rPr>
              <w:t>«ProcessorSigPosition»</w:t>
            </w:r>
            <w:r>
              <w:rPr>
                <w:color w:val="000000"/>
                <w:lang w:val="en-US"/>
              </w:rPr>
              <w:fldChar w:fldCharType="end"/>
            </w:r>
          </w:p>
        </w:tc>
      </w:tr>
    </w:tbl>
    <w:p w14:paraId="4CC28397" w14:textId="77777777" w:rsidR="00DA0475" w:rsidRPr="00DA0475" w:rsidRDefault="00DA0475" w:rsidP="00DA0475">
      <w:pPr>
        <w:rPr>
          <w:lang w:val="en-US"/>
        </w:rPr>
      </w:pPr>
    </w:p>
    <w:p w14:paraId="3364EA84" w14:textId="77777777" w:rsidR="00DE37B8" w:rsidRDefault="00DE37B8">
      <w:pPr>
        <w:spacing w:after="160"/>
        <w:jc w:val="left"/>
        <w:rPr>
          <w:bCs/>
          <w:iCs/>
          <w:lang w:val="en-US"/>
        </w:rPr>
      </w:pPr>
      <w:r>
        <w:rPr>
          <w:b/>
          <w:bCs/>
          <w:i/>
          <w:iCs/>
          <w:lang w:val="en-US"/>
        </w:rPr>
        <w:br w:type="page"/>
      </w:r>
    </w:p>
    <w:p w14:paraId="78F19110" w14:textId="04959882" w:rsidR="00C70BA6" w:rsidRDefault="00DE37B8" w:rsidP="00DE37B8">
      <w:pPr>
        <w:pStyle w:val="a8"/>
      </w:pPr>
      <w:r>
        <w:lastRenderedPageBreak/>
        <w:t>Annex 1. Underlying Agreements</w:t>
      </w:r>
    </w:p>
    <w:p w14:paraId="5E586259" w14:textId="06849E93" w:rsidR="00A821D8" w:rsidRDefault="0045371A" w:rsidP="00A821D8">
      <w:pPr>
        <w:rPr>
          <w:lang w:val="en-US"/>
        </w:rPr>
      </w:pPr>
      <w:r>
        <w:rPr>
          <w:lang w:val="en-US"/>
        </w:rPr>
        <w:t xml:space="preserve">This Annex 1 to the Amendment lists the following agreements as Underlying Agreements for purposes of Section </w:t>
      </w:r>
      <w:r>
        <w:rPr>
          <w:lang w:val="en-US"/>
        </w:rPr>
        <w:fldChar w:fldCharType="begin"/>
      </w:r>
      <w:r>
        <w:rPr>
          <w:lang w:val="en-US"/>
        </w:rPr>
        <w:instrText xml:space="preserve"> REF _Ref45905266 \r \h </w:instrText>
      </w:r>
      <w:r>
        <w:rPr>
          <w:lang w:val="en-US"/>
        </w:rPr>
      </w:r>
      <w:r>
        <w:rPr>
          <w:lang w:val="en-US"/>
        </w:rPr>
        <w:fldChar w:fldCharType="separate"/>
      </w:r>
      <w:r w:rsidR="002662E7">
        <w:rPr>
          <w:lang w:val="en-US"/>
        </w:rPr>
        <w:t>1.2</w:t>
      </w:r>
      <w:r>
        <w:rPr>
          <w:lang w:val="en-US"/>
        </w:rPr>
        <w:fldChar w:fldCharType="end"/>
      </w:r>
      <w:r>
        <w:rPr>
          <w:lang w:val="en-US"/>
        </w:rPr>
        <w:t xml:space="preserve"> of the Amendment:</w:t>
      </w:r>
    </w:p>
    <w:p w14:paraId="16B70148" w14:textId="55B220EF" w:rsidR="00BE18F8" w:rsidRPr="003B7DAB" w:rsidRDefault="00BE18F8" w:rsidP="00A821D8">
      <w:pPr>
        <w:rPr>
          <w:i/>
          <w:iCs/>
          <w:lang w:val="en-US"/>
        </w:rPr>
      </w:pPr>
      <w:r w:rsidRPr="003B7DAB">
        <w:rPr>
          <w:i/>
          <w:iCs/>
          <w:lang w:val="en-US"/>
        </w:rPr>
        <w:t>*</w:t>
      </w:r>
      <w:r w:rsidR="003B7DAB" w:rsidRPr="003B7DAB">
        <w:rPr>
          <w:i/>
          <w:iCs/>
          <w:lang w:val="en-US"/>
        </w:rPr>
        <w:t>Start of example</w:t>
      </w:r>
      <w:r w:rsidR="003B7DAB">
        <w:rPr>
          <w:i/>
          <w:iCs/>
          <w:lang w:val="en-US"/>
        </w:rPr>
        <w:t>; does not create legally binding obligations</w:t>
      </w:r>
      <w:r w:rsidRPr="003B7DAB">
        <w:rPr>
          <w:i/>
          <w:iCs/>
          <w:lang w:val="en-US"/>
        </w:rPr>
        <w:t>*</w:t>
      </w:r>
    </w:p>
    <w:p w14:paraId="7A0872B0" w14:textId="0A77A581" w:rsidR="00DE37B8" w:rsidRDefault="002662E7" w:rsidP="00A821D8">
      <w:pPr>
        <w:pStyle w:val="a0"/>
        <w:numPr>
          <w:ilvl w:val="0"/>
          <w:numId w:val="3"/>
        </w:numPr>
        <w:contextualSpacing w:val="0"/>
        <w:rPr>
          <w:lang w:val="en-US"/>
        </w:rPr>
      </w:pPr>
      <w:r>
        <w:rPr>
          <w:lang w:val="en-US"/>
        </w:rPr>
        <w:t>DPA</w:t>
      </w:r>
      <w:r w:rsidR="00A821D8">
        <w:rPr>
          <w:lang w:val="en-US"/>
        </w:rPr>
        <w:t xml:space="preserve"> A</w:t>
      </w:r>
    </w:p>
    <w:p w14:paraId="711EF396" w14:textId="6E3A4E47" w:rsidR="00A821D8" w:rsidRDefault="002662E7" w:rsidP="00A821D8">
      <w:pPr>
        <w:pStyle w:val="a0"/>
        <w:numPr>
          <w:ilvl w:val="0"/>
          <w:numId w:val="3"/>
        </w:numPr>
        <w:contextualSpacing w:val="0"/>
        <w:rPr>
          <w:lang w:val="en-US"/>
        </w:rPr>
      </w:pPr>
      <w:r>
        <w:rPr>
          <w:lang w:val="en-US"/>
        </w:rPr>
        <w:t>DPA</w:t>
      </w:r>
      <w:r w:rsidR="00A821D8">
        <w:rPr>
          <w:lang w:val="en-US"/>
        </w:rPr>
        <w:t xml:space="preserve"> B</w:t>
      </w:r>
    </w:p>
    <w:p w14:paraId="1622B803" w14:textId="0F4684CE" w:rsidR="00A821D8" w:rsidRDefault="00A821D8" w:rsidP="00A821D8">
      <w:pPr>
        <w:pStyle w:val="a0"/>
        <w:numPr>
          <w:ilvl w:val="1"/>
          <w:numId w:val="3"/>
        </w:numPr>
        <w:contextualSpacing w:val="0"/>
        <w:rPr>
          <w:lang w:val="en-US"/>
        </w:rPr>
      </w:pPr>
      <w:r>
        <w:rPr>
          <w:lang w:val="en-US"/>
        </w:rPr>
        <w:t>Data subjects</w:t>
      </w:r>
      <w:r w:rsidR="00BE18F8">
        <w:rPr>
          <w:lang w:val="en-US"/>
        </w:rPr>
        <w:t>: Web users</w:t>
      </w:r>
    </w:p>
    <w:p w14:paraId="1F61844A" w14:textId="641D0117" w:rsidR="00BE18F8" w:rsidRDefault="00BE18F8" w:rsidP="00A821D8">
      <w:pPr>
        <w:pStyle w:val="a0"/>
        <w:numPr>
          <w:ilvl w:val="1"/>
          <w:numId w:val="3"/>
        </w:numPr>
        <w:contextualSpacing w:val="0"/>
        <w:rPr>
          <w:lang w:val="en-US"/>
        </w:rPr>
      </w:pPr>
      <w:r>
        <w:rPr>
          <w:lang w:val="en-US"/>
        </w:rPr>
        <w:t>Categories of data: First name, last name, address</w:t>
      </w:r>
    </w:p>
    <w:p w14:paraId="47BFCBA9" w14:textId="2FBB144C" w:rsidR="00BE18F8" w:rsidRDefault="00BE18F8" w:rsidP="00A821D8">
      <w:pPr>
        <w:pStyle w:val="a0"/>
        <w:numPr>
          <w:ilvl w:val="1"/>
          <w:numId w:val="3"/>
        </w:numPr>
        <w:contextualSpacing w:val="0"/>
        <w:rPr>
          <w:lang w:val="en-US"/>
        </w:rPr>
      </w:pPr>
      <w:r>
        <w:rPr>
          <w:lang w:val="en-US"/>
        </w:rPr>
        <w:t>Security: Encryption, role management</w:t>
      </w:r>
    </w:p>
    <w:p w14:paraId="370672C3" w14:textId="5AD41BD2" w:rsidR="003B7DAB" w:rsidRDefault="002662E7" w:rsidP="003B7DAB">
      <w:pPr>
        <w:pStyle w:val="a0"/>
        <w:numPr>
          <w:ilvl w:val="0"/>
          <w:numId w:val="3"/>
        </w:numPr>
        <w:contextualSpacing w:val="0"/>
        <w:rPr>
          <w:lang w:val="en-US"/>
        </w:rPr>
      </w:pPr>
      <w:r>
        <w:rPr>
          <w:lang w:val="en-US"/>
        </w:rPr>
        <w:t>DPA</w:t>
      </w:r>
      <w:r w:rsidR="003B7DAB">
        <w:rPr>
          <w:lang w:val="en-US"/>
        </w:rPr>
        <w:t xml:space="preserve"> C</w:t>
      </w:r>
    </w:p>
    <w:p w14:paraId="14492795" w14:textId="6318F18D" w:rsidR="00A8264E" w:rsidRPr="00A8264E" w:rsidRDefault="00A8264E" w:rsidP="00A8264E">
      <w:pPr>
        <w:pStyle w:val="a0"/>
        <w:numPr>
          <w:ilvl w:val="1"/>
          <w:numId w:val="3"/>
        </w:numPr>
        <w:contextualSpacing w:val="0"/>
        <w:rPr>
          <w:lang w:val="en-US"/>
        </w:rPr>
      </w:pPr>
      <w:r>
        <w:rPr>
          <w:lang w:val="en-US"/>
        </w:rPr>
        <w:t>Data subjects: Employees</w:t>
      </w:r>
    </w:p>
    <w:p w14:paraId="730A709F" w14:textId="0FC911C3" w:rsidR="003B7DAB" w:rsidRPr="003B7DAB" w:rsidRDefault="003B7DAB" w:rsidP="003B7DAB">
      <w:pPr>
        <w:rPr>
          <w:i/>
          <w:iCs/>
          <w:lang w:val="en-US"/>
        </w:rPr>
      </w:pPr>
      <w:r w:rsidRPr="003B7DAB">
        <w:rPr>
          <w:i/>
          <w:iCs/>
          <w:lang w:val="en-US"/>
        </w:rPr>
        <w:t>*</w:t>
      </w:r>
      <w:r>
        <w:rPr>
          <w:i/>
          <w:iCs/>
          <w:lang w:val="en-US"/>
        </w:rPr>
        <w:t>End</w:t>
      </w:r>
      <w:r w:rsidRPr="003B7DAB">
        <w:rPr>
          <w:i/>
          <w:iCs/>
          <w:lang w:val="en-US"/>
        </w:rPr>
        <w:t xml:space="preserve"> of example *</w:t>
      </w:r>
    </w:p>
    <w:p w14:paraId="7993D6D9" w14:textId="13D038A0" w:rsidR="00CE06E5" w:rsidRDefault="00CE06E5">
      <w:pPr>
        <w:spacing w:after="160"/>
        <w:jc w:val="left"/>
        <w:rPr>
          <w:lang w:val="en-US"/>
        </w:rPr>
      </w:pPr>
      <w:r>
        <w:rPr>
          <w:lang w:val="en-US"/>
        </w:rPr>
        <w:br w:type="page"/>
      </w:r>
    </w:p>
    <w:p w14:paraId="7A3D8800" w14:textId="7F9CE956" w:rsidR="00CE06E5" w:rsidRDefault="00CE06E5" w:rsidP="00CE06E5">
      <w:pPr>
        <w:pStyle w:val="a8"/>
      </w:pPr>
      <w:r>
        <w:lastRenderedPageBreak/>
        <w:t xml:space="preserve">Annex </w:t>
      </w:r>
      <w:r w:rsidRPr="00CE06E5">
        <w:t>2</w:t>
      </w:r>
      <w:r>
        <w:t xml:space="preserve">. </w:t>
      </w:r>
      <w:r w:rsidRPr="00CE06E5">
        <w:t>Equivalent Protection Assessment and Commitment (Optional)</w:t>
      </w:r>
    </w:p>
    <w:p w14:paraId="2597626F" w14:textId="0553DEC1" w:rsidR="00CE06E5" w:rsidRDefault="00CE06E5" w:rsidP="00CE06E5">
      <w:pPr>
        <w:rPr>
          <w:lang w:val="en-US"/>
        </w:rPr>
      </w:pPr>
      <w:r>
        <w:rPr>
          <w:lang w:val="en-US"/>
        </w:rPr>
        <w:t xml:space="preserve">This Annex </w:t>
      </w:r>
      <w:r w:rsidRPr="00CE06E5">
        <w:rPr>
          <w:lang w:val="en-US"/>
        </w:rPr>
        <w:t>2</w:t>
      </w:r>
      <w:r>
        <w:rPr>
          <w:lang w:val="en-US"/>
        </w:rPr>
        <w:t xml:space="preserve"> to the Amendment </w:t>
      </w:r>
      <w:r w:rsidR="00F955C4">
        <w:rPr>
          <w:lang w:val="en-US"/>
        </w:rPr>
        <w:t xml:space="preserve">contains an optional </w:t>
      </w:r>
      <w:r w:rsidR="00F955C4" w:rsidRPr="00F955C4">
        <w:rPr>
          <w:lang w:val="en-US"/>
        </w:rPr>
        <w:t>Equivalent Protection assessment and commitment</w:t>
      </w:r>
      <w:r w:rsidR="00F955C4">
        <w:rPr>
          <w:lang w:val="en-US"/>
        </w:rPr>
        <w:t xml:space="preserve"> referred to in Section </w:t>
      </w:r>
      <w:r w:rsidR="00F955C4">
        <w:rPr>
          <w:lang w:val="en-US"/>
        </w:rPr>
        <w:fldChar w:fldCharType="begin"/>
      </w:r>
      <w:r w:rsidR="00F955C4">
        <w:rPr>
          <w:lang w:val="en-US"/>
        </w:rPr>
        <w:instrText xml:space="preserve"> REF _Ref46146918 \r \h </w:instrText>
      </w:r>
      <w:r w:rsidR="00F955C4">
        <w:rPr>
          <w:lang w:val="en-US"/>
        </w:rPr>
      </w:r>
      <w:r w:rsidR="00F955C4">
        <w:rPr>
          <w:lang w:val="en-US"/>
        </w:rPr>
        <w:fldChar w:fldCharType="separate"/>
      </w:r>
      <w:r w:rsidR="002662E7">
        <w:rPr>
          <w:lang w:val="en-US"/>
        </w:rPr>
        <w:t>3.2</w:t>
      </w:r>
      <w:r w:rsidR="00F955C4">
        <w:rPr>
          <w:lang w:val="en-US"/>
        </w:rPr>
        <w:fldChar w:fldCharType="end"/>
      </w:r>
      <w:r w:rsidR="00F955C4">
        <w:rPr>
          <w:lang w:val="en-US"/>
        </w:rPr>
        <w:t xml:space="preserve"> of the Amendment.</w:t>
      </w:r>
    </w:p>
    <w:p w14:paraId="47895919" w14:textId="3890E6C5" w:rsidR="00F955C4" w:rsidRPr="00F955C4" w:rsidRDefault="00F955C4" w:rsidP="00CE06E5">
      <w:pPr>
        <w:rPr>
          <w:i/>
          <w:iCs/>
          <w:lang w:val="en-US"/>
        </w:rPr>
      </w:pPr>
      <w:r w:rsidRPr="00F955C4">
        <w:rPr>
          <w:i/>
          <w:iCs/>
          <w:lang w:val="en-US"/>
        </w:rPr>
        <w:t>*Intentionally left blank*</w:t>
      </w:r>
    </w:p>
    <w:p w14:paraId="36190E12" w14:textId="77777777" w:rsidR="00C5050E" w:rsidRPr="00C5050E" w:rsidRDefault="00C5050E" w:rsidP="00C5050E">
      <w:pPr>
        <w:rPr>
          <w:lang w:val="en-US"/>
        </w:rPr>
      </w:pPr>
    </w:p>
    <w:sectPr w:rsidR="00C5050E" w:rsidRPr="00C5050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0453E" w14:textId="77777777" w:rsidR="000903E8" w:rsidRDefault="000903E8" w:rsidP="004C5B8E">
      <w:pPr>
        <w:spacing w:after="0" w:line="240" w:lineRule="auto"/>
      </w:pPr>
      <w:r>
        <w:separator/>
      </w:r>
    </w:p>
  </w:endnote>
  <w:endnote w:type="continuationSeparator" w:id="0">
    <w:p w14:paraId="55310A9F" w14:textId="77777777" w:rsidR="000903E8" w:rsidRDefault="000903E8" w:rsidP="004C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091778"/>
      <w:docPartObj>
        <w:docPartGallery w:val="Page Numbers (Bottom of Page)"/>
        <w:docPartUnique/>
      </w:docPartObj>
    </w:sdtPr>
    <w:sdtEndPr/>
    <w:sdtContent>
      <w:p w14:paraId="23B06A4E" w14:textId="77777777" w:rsidR="00F03965" w:rsidRDefault="00F03965" w:rsidP="00506362">
        <w:pPr>
          <w:pStyle w:val="a6"/>
          <w:jc w:val="right"/>
        </w:pPr>
        <w:r>
          <w:fldChar w:fldCharType="begin"/>
        </w:r>
        <w:r>
          <w:instrText>PAGE   \* MERGEFORMAT</w:instrText>
        </w:r>
        <w:r>
          <w:fldChar w:fldCharType="separate"/>
        </w:r>
        <w:r>
          <w:t>2</w:t>
        </w:r>
        <w:r>
          <w:fldChar w:fldCharType="end"/>
        </w:r>
        <w:r>
          <w:rPr>
            <w:lang w:val="en-US"/>
          </w:rPr>
          <w:t xml:space="preserve"> / </w:t>
        </w:r>
        <w:r>
          <w:rPr>
            <w:lang w:val="en-US"/>
          </w:rPr>
          <w:fldChar w:fldCharType="begin"/>
        </w:r>
        <w:r>
          <w:rPr>
            <w:lang w:val="en-US"/>
          </w:rPr>
          <w:instrText xml:space="preserve"> NUMPAGES  \* Arabic  \* MERGEFORMAT </w:instrText>
        </w:r>
        <w:r>
          <w:rPr>
            <w:lang w:val="en-US"/>
          </w:rPr>
          <w:fldChar w:fldCharType="separate"/>
        </w:r>
        <w:r>
          <w:rPr>
            <w:noProof/>
            <w:lang w:val="en-US"/>
          </w:rPr>
          <w:t>1</w:t>
        </w:r>
        <w:r>
          <w:rPr>
            <w:lang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040F6" w14:textId="77777777" w:rsidR="000903E8" w:rsidRDefault="000903E8" w:rsidP="004C5B8E">
      <w:pPr>
        <w:spacing w:after="0" w:line="240" w:lineRule="auto"/>
      </w:pPr>
      <w:r>
        <w:separator/>
      </w:r>
    </w:p>
  </w:footnote>
  <w:footnote w:type="continuationSeparator" w:id="0">
    <w:p w14:paraId="3C451B4D" w14:textId="77777777" w:rsidR="000903E8" w:rsidRDefault="000903E8" w:rsidP="004C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4F35" w:rsidRPr="00823A43" w14:paraId="791A8775" w14:textId="77777777" w:rsidTr="00E54F35">
      <w:tc>
        <w:tcPr>
          <w:tcW w:w="4672" w:type="dxa"/>
          <w:vAlign w:val="center"/>
        </w:tcPr>
        <w:p w14:paraId="30353F84" w14:textId="688B686A" w:rsidR="00E54F35" w:rsidRPr="00E54F35" w:rsidRDefault="00E54F35" w:rsidP="00E54F35">
          <w:pPr>
            <w:pStyle w:val="a4"/>
            <w:spacing w:before="120" w:after="120"/>
            <w:ind w:left="-105"/>
            <w:jc w:val="left"/>
            <w:rPr>
              <w:lang w:val="en-US"/>
            </w:rPr>
          </w:pPr>
          <w:r>
            <w:rPr>
              <w:lang w:val="en-US"/>
            </w:rPr>
            <w:t>RPPA (rppa.ru)</w:t>
          </w:r>
        </w:p>
      </w:tc>
      <w:tc>
        <w:tcPr>
          <w:tcW w:w="4673" w:type="dxa"/>
        </w:tcPr>
        <w:p w14:paraId="05D28A91" w14:textId="65B691A4" w:rsidR="00E54F35" w:rsidRPr="00E54F35" w:rsidRDefault="00B87704" w:rsidP="00E54F35">
          <w:pPr>
            <w:pStyle w:val="a4"/>
            <w:spacing w:before="120" w:after="120"/>
            <w:ind w:right="-116"/>
            <w:jc w:val="right"/>
            <w:rPr>
              <w:lang w:val="en-US"/>
            </w:rPr>
          </w:pPr>
          <w:r>
            <w:rPr>
              <w:lang w:val="en-US"/>
            </w:rPr>
            <w:t xml:space="preserve">Template </w:t>
          </w:r>
          <w:r w:rsidR="00E54F35">
            <w:rPr>
              <w:lang w:val="en-US"/>
            </w:rPr>
            <w:t xml:space="preserve">EU-US Privacy Shield to SCC </w:t>
          </w:r>
          <w:r w:rsidR="002711F4">
            <w:rPr>
              <w:lang w:val="en-US"/>
            </w:rPr>
            <w:br/>
          </w:r>
          <w:r w:rsidR="00E54F35">
            <w:rPr>
              <w:lang w:val="en-US"/>
            </w:rPr>
            <w:t>Amendment</w:t>
          </w:r>
          <w:r w:rsidR="002711F4">
            <w:rPr>
              <w:lang w:val="en-US"/>
            </w:rPr>
            <w:t xml:space="preserve"> </w:t>
          </w:r>
          <w:r w:rsidR="00E54F35">
            <w:rPr>
              <w:lang w:val="en-US"/>
            </w:rPr>
            <w:t>for Controller to Processor Transfer</w:t>
          </w:r>
        </w:p>
      </w:tc>
    </w:tr>
  </w:tbl>
  <w:p w14:paraId="5035D38F" w14:textId="09806944" w:rsidR="00E54F35" w:rsidRPr="002711F4" w:rsidRDefault="00E54F35" w:rsidP="00E54F35">
    <w:pPr>
      <w:pStyle w:val="a4"/>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E6CDA"/>
    <w:multiLevelType w:val="multilevel"/>
    <w:tmpl w:val="AF9ECE1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03C2462"/>
    <w:multiLevelType w:val="hybridMultilevel"/>
    <w:tmpl w:val="116C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E21581"/>
    <w:multiLevelType w:val="multilevel"/>
    <w:tmpl w:val="C03C6EDA"/>
    <w:lvl w:ilvl="0">
      <w:start w:val="1"/>
      <w:numFmt w:val="decimal"/>
      <w:pStyle w:val="1"/>
      <w:lvlText w:val="%1."/>
      <w:lvlJc w:val="left"/>
      <w:pPr>
        <w:ind w:left="720" w:hanging="720"/>
      </w:pPr>
      <w:rPr>
        <w:rFonts w:hint="default"/>
        <w:i w:val="0"/>
      </w:rPr>
    </w:lvl>
    <w:lvl w:ilvl="1">
      <w:start w:val="1"/>
      <w:numFmt w:val="decimal"/>
      <w:pStyle w:val="2"/>
      <w:lvlText w:val="%1.%2."/>
      <w:lvlJc w:val="left"/>
      <w:pPr>
        <w:ind w:left="720" w:hanging="720"/>
      </w:pPr>
      <w:rPr>
        <w:rFonts w:hint="default"/>
        <w:b w:val="0"/>
        <w:i w:val="0"/>
      </w:rPr>
    </w:lvl>
    <w:lvl w:ilvl="2">
      <w:start w:val="1"/>
      <w:numFmt w:val="decimal"/>
      <w:pStyle w:val="3"/>
      <w:lvlText w:val="%1.%2.%3."/>
      <w:lvlJc w:val="left"/>
      <w:pPr>
        <w:ind w:left="1440" w:hanging="720"/>
      </w:pPr>
      <w:rPr>
        <w:rFonts w:hint="default"/>
        <w:b w:val="0"/>
        <w:bCs/>
        <w:i w:val="0"/>
        <w:i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32"/>
    <w:rsid w:val="00030685"/>
    <w:rsid w:val="00081014"/>
    <w:rsid w:val="000903E8"/>
    <w:rsid w:val="00094ABB"/>
    <w:rsid w:val="000D0731"/>
    <w:rsid w:val="001151CD"/>
    <w:rsid w:val="001168A4"/>
    <w:rsid w:val="00141729"/>
    <w:rsid w:val="00142979"/>
    <w:rsid w:val="0016480E"/>
    <w:rsid w:val="001753D7"/>
    <w:rsid w:val="001B24B8"/>
    <w:rsid w:val="00257199"/>
    <w:rsid w:val="002662E7"/>
    <w:rsid w:val="002711F4"/>
    <w:rsid w:val="00277F32"/>
    <w:rsid w:val="002C07D1"/>
    <w:rsid w:val="002E202D"/>
    <w:rsid w:val="0034501B"/>
    <w:rsid w:val="003711AB"/>
    <w:rsid w:val="003B7DAB"/>
    <w:rsid w:val="003D3175"/>
    <w:rsid w:val="0045371A"/>
    <w:rsid w:val="0045519C"/>
    <w:rsid w:val="00456022"/>
    <w:rsid w:val="00483646"/>
    <w:rsid w:val="004C5B8E"/>
    <w:rsid w:val="004D2B50"/>
    <w:rsid w:val="0050516D"/>
    <w:rsid w:val="00506362"/>
    <w:rsid w:val="0056627D"/>
    <w:rsid w:val="005A5AC3"/>
    <w:rsid w:val="005A6B81"/>
    <w:rsid w:val="006929DE"/>
    <w:rsid w:val="006B097C"/>
    <w:rsid w:val="006B1D9B"/>
    <w:rsid w:val="006D6F79"/>
    <w:rsid w:val="0074675A"/>
    <w:rsid w:val="00771CD1"/>
    <w:rsid w:val="007E7001"/>
    <w:rsid w:val="007F5FB6"/>
    <w:rsid w:val="00823A43"/>
    <w:rsid w:val="008576A9"/>
    <w:rsid w:val="008B23B6"/>
    <w:rsid w:val="008F3E01"/>
    <w:rsid w:val="00900FD4"/>
    <w:rsid w:val="00977807"/>
    <w:rsid w:val="009B159D"/>
    <w:rsid w:val="009D17B1"/>
    <w:rsid w:val="00A253F9"/>
    <w:rsid w:val="00A821D8"/>
    <w:rsid w:val="00A8264E"/>
    <w:rsid w:val="00AA1AF3"/>
    <w:rsid w:val="00B23C4F"/>
    <w:rsid w:val="00B771CB"/>
    <w:rsid w:val="00B87704"/>
    <w:rsid w:val="00B94EC4"/>
    <w:rsid w:val="00BA2226"/>
    <w:rsid w:val="00BE18F8"/>
    <w:rsid w:val="00BE1E60"/>
    <w:rsid w:val="00BF1DDC"/>
    <w:rsid w:val="00C25D32"/>
    <w:rsid w:val="00C5050E"/>
    <w:rsid w:val="00C70BA6"/>
    <w:rsid w:val="00CA6680"/>
    <w:rsid w:val="00CD7EFB"/>
    <w:rsid w:val="00CE06E5"/>
    <w:rsid w:val="00CF4A4F"/>
    <w:rsid w:val="00D26F9F"/>
    <w:rsid w:val="00D61D5C"/>
    <w:rsid w:val="00D6246A"/>
    <w:rsid w:val="00DA0475"/>
    <w:rsid w:val="00DE37B8"/>
    <w:rsid w:val="00E54F35"/>
    <w:rsid w:val="00E76C82"/>
    <w:rsid w:val="00EB5194"/>
    <w:rsid w:val="00EB6E65"/>
    <w:rsid w:val="00F03965"/>
    <w:rsid w:val="00F15607"/>
    <w:rsid w:val="00F7392C"/>
    <w:rsid w:val="00F955C4"/>
    <w:rsid w:val="00FC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BB71E"/>
  <w15:chartTrackingRefBased/>
  <w15:docId w15:val="{EF6E24A2-7DC5-4827-B411-AA1382FF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31"/>
    <w:pPr>
      <w:spacing w:after="120"/>
      <w:jc w:val="both"/>
    </w:pPr>
    <w:rPr>
      <w:rFonts w:ascii="Times New Roman" w:hAnsi="Times New Roman" w:cs="Times New Roman"/>
    </w:rPr>
  </w:style>
  <w:style w:type="paragraph" w:styleId="1">
    <w:name w:val="heading 1"/>
    <w:basedOn w:val="a0"/>
    <w:next w:val="2"/>
    <w:link w:val="10"/>
    <w:uiPriority w:val="9"/>
    <w:qFormat/>
    <w:rsid w:val="004C5B8E"/>
    <w:pPr>
      <w:keepNext/>
      <w:numPr>
        <w:numId w:val="1"/>
      </w:numPr>
      <w:spacing w:before="240"/>
      <w:contextualSpacing w:val="0"/>
      <w:outlineLvl w:val="0"/>
    </w:pPr>
    <w:rPr>
      <w:b/>
      <w:smallCaps/>
    </w:rPr>
  </w:style>
  <w:style w:type="paragraph" w:styleId="2">
    <w:name w:val="heading 2"/>
    <w:basedOn w:val="1"/>
    <w:link w:val="20"/>
    <w:uiPriority w:val="9"/>
    <w:unhideWhenUsed/>
    <w:qFormat/>
    <w:rsid w:val="004C5B8E"/>
    <w:pPr>
      <w:keepNext w:val="0"/>
      <w:numPr>
        <w:ilvl w:val="1"/>
      </w:numPr>
      <w:spacing w:before="120"/>
      <w:outlineLvl w:val="1"/>
    </w:pPr>
    <w:rPr>
      <w:i/>
      <w:smallCaps w:val="0"/>
    </w:rPr>
  </w:style>
  <w:style w:type="paragraph" w:styleId="3">
    <w:name w:val="heading 3"/>
    <w:basedOn w:val="2"/>
    <w:next w:val="a"/>
    <w:link w:val="30"/>
    <w:uiPriority w:val="9"/>
    <w:unhideWhenUsed/>
    <w:qFormat/>
    <w:rsid w:val="004C5B8E"/>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C5B8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C5B8E"/>
  </w:style>
  <w:style w:type="paragraph" w:styleId="a6">
    <w:name w:val="footer"/>
    <w:basedOn w:val="a"/>
    <w:link w:val="a7"/>
    <w:uiPriority w:val="99"/>
    <w:unhideWhenUsed/>
    <w:rsid w:val="004C5B8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C5B8E"/>
  </w:style>
  <w:style w:type="character" w:customStyle="1" w:styleId="10">
    <w:name w:val="Заголовок 1 Знак"/>
    <w:basedOn w:val="a1"/>
    <w:link w:val="1"/>
    <w:uiPriority w:val="9"/>
    <w:rsid w:val="004C5B8E"/>
    <w:rPr>
      <w:rFonts w:ascii="Times New Roman" w:hAnsi="Times New Roman" w:cs="Times New Roman"/>
      <w:b/>
      <w:smallCaps/>
    </w:rPr>
  </w:style>
  <w:style w:type="character" w:customStyle="1" w:styleId="20">
    <w:name w:val="Заголовок 2 Знак"/>
    <w:basedOn w:val="a1"/>
    <w:link w:val="2"/>
    <w:uiPriority w:val="9"/>
    <w:rsid w:val="004C5B8E"/>
    <w:rPr>
      <w:rFonts w:ascii="Times New Roman" w:hAnsi="Times New Roman" w:cs="Times New Roman"/>
      <w:b/>
      <w:i/>
    </w:rPr>
  </w:style>
  <w:style w:type="character" w:customStyle="1" w:styleId="30">
    <w:name w:val="Заголовок 3 Знак"/>
    <w:basedOn w:val="a1"/>
    <w:link w:val="3"/>
    <w:uiPriority w:val="9"/>
    <w:rsid w:val="004C5B8E"/>
    <w:rPr>
      <w:rFonts w:ascii="Times New Roman" w:hAnsi="Times New Roman" w:cs="Times New Roman"/>
      <w:b/>
      <w:i/>
    </w:rPr>
  </w:style>
  <w:style w:type="paragraph" w:styleId="a8">
    <w:name w:val="Title"/>
    <w:next w:val="a"/>
    <w:link w:val="a9"/>
    <w:uiPriority w:val="10"/>
    <w:qFormat/>
    <w:rsid w:val="004C5B8E"/>
    <w:pPr>
      <w:jc w:val="center"/>
    </w:pPr>
    <w:rPr>
      <w:rFonts w:ascii="Times New Roman" w:hAnsi="Times New Roman" w:cs="Times New Roman"/>
      <w:b/>
      <w:smallCaps/>
      <w:lang w:val="en-US"/>
    </w:rPr>
  </w:style>
  <w:style w:type="character" w:customStyle="1" w:styleId="a9">
    <w:name w:val="Заголовок Знак"/>
    <w:basedOn w:val="a1"/>
    <w:link w:val="a8"/>
    <w:uiPriority w:val="10"/>
    <w:rsid w:val="004C5B8E"/>
    <w:rPr>
      <w:rFonts w:ascii="Times New Roman" w:hAnsi="Times New Roman" w:cs="Times New Roman"/>
      <w:b/>
      <w:smallCaps/>
      <w:lang w:val="en-US"/>
    </w:rPr>
  </w:style>
  <w:style w:type="character" w:styleId="aa">
    <w:name w:val="Hyperlink"/>
    <w:basedOn w:val="a1"/>
    <w:uiPriority w:val="99"/>
    <w:unhideWhenUsed/>
    <w:rsid w:val="004C5B8E"/>
    <w:rPr>
      <w:color w:val="0000FF"/>
      <w:u w:val="single"/>
    </w:rPr>
  </w:style>
  <w:style w:type="paragraph" w:styleId="a0">
    <w:name w:val="List Paragraph"/>
    <w:basedOn w:val="a"/>
    <w:uiPriority w:val="34"/>
    <w:qFormat/>
    <w:rsid w:val="004C5B8E"/>
    <w:pPr>
      <w:ind w:left="720"/>
      <w:contextualSpacing/>
    </w:pPr>
  </w:style>
  <w:style w:type="table" w:styleId="ab">
    <w:name w:val="Table Grid"/>
    <w:basedOn w:val="a2"/>
    <w:uiPriority w:val="39"/>
    <w:rsid w:val="00CE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1560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F15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FE29-85C4-456E-B08F-E22CA88E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2913</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Blinov</dc:creator>
  <cp:keywords/>
  <dc:description/>
  <cp:lastModifiedBy>Oleg Blinov</cp:lastModifiedBy>
  <cp:revision>57</cp:revision>
  <dcterms:created xsi:type="dcterms:W3CDTF">2020-07-16T14:17:00Z</dcterms:created>
  <dcterms:modified xsi:type="dcterms:W3CDTF">2020-07-21T20:47:00Z</dcterms:modified>
</cp:coreProperties>
</file>